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F95" w14:textId="77777777"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C83CA0A" w14:textId="77777777"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76EAC356" w14:textId="77777777"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2754B50D" w14:textId="77777777"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77B28278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>INSTITUTO DISTRITAL DE RECREACIÓN Y DEPORTE</w:t>
      </w:r>
    </w:p>
    <w:p w14:paraId="16443221" w14:textId="77777777" w:rsidR="004D3CB3" w:rsidRPr="004D3CB3" w:rsidRDefault="004D3CB3" w:rsidP="004D3CB3">
      <w:pPr>
        <w:jc w:val="center"/>
        <w:rPr>
          <w:rFonts w:ascii="Arial" w:hAnsi="Arial" w:cs="Arial"/>
          <w:b/>
          <w:szCs w:val="24"/>
        </w:rPr>
      </w:pPr>
      <w:r w:rsidRPr="004D3CB3">
        <w:rPr>
          <w:rFonts w:ascii="Arial" w:hAnsi="Arial" w:cs="Arial"/>
          <w:b/>
          <w:szCs w:val="24"/>
        </w:rPr>
        <w:t xml:space="preserve">OFICINA </w:t>
      </w:r>
      <w:r w:rsidR="00B07F68">
        <w:rPr>
          <w:rFonts w:ascii="Arial" w:hAnsi="Arial" w:cs="Arial"/>
          <w:b/>
          <w:szCs w:val="24"/>
        </w:rPr>
        <w:t>DE ASUNTOS LOCALES</w:t>
      </w:r>
    </w:p>
    <w:p w14:paraId="5143CB44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0D9E125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19F226E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0F8B592" w14:textId="77777777" w:rsidR="004D3CB3" w:rsidRPr="00811F9D" w:rsidRDefault="007C473E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04288C1F" wp14:editId="22943723">
            <wp:extent cx="2600325" cy="1762125"/>
            <wp:effectExtent l="0" t="0" r="9525" b="9525"/>
            <wp:docPr id="1" name="Imagen 1" descr="https://lh5.googleusercontent.com/rqjifDdZjWxH4tSBlgu0wwTrArSuLhvtDVXSmAQKzPLbyomvndvzcz0gyj2ej82LDA6IfyHD7VDmbVqrban8B9u8veEJZaxnbVREoCNtYZHDOQFuormRPzg9lHfRjt90bggBexKyv1n-YA4O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lh5.googleusercontent.com/rqjifDdZjWxH4tSBlgu0wwTrArSuLhvtDVXSmAQKzPLbyomvndvzcz0gyj2ej82LDA6IfyHD7VDmbVqrban8B9u8veEJZaxnbVREoCNtYZHDOQFuormRPzg9lHfRjt90bggBexKyv1n-YA4Ow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7330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901C769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44BF237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50981779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75C96195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49B18F28" w14:textId="77777777"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3BCDDF74" w14:textId="77777777" w:rsidR="004D3CB3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64022A86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42263829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CO"/>
        </w:rPr>
      </w:pPr>
    </w:p>
    <w:p w14:paraId="4F4562CC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3EC0726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0DB0AE2" w14:textId="12B233E1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INFORME </w:t>
      </w:r>
      <w:r>
        <w:rPr>
          <w:rFonts w:ascii="Arial" w:eastAsia="Times New Roman" w:hAnsi="Arial" w:cs="Arial"/>
          <w:b/>
          <w:bCs/>
          <w:lang w:eastAsia="es-CO"/>
        </w:rPr>
        <w:t>CONSOLIDADO DE</w:t>
      </w:r>
      <w:r w:rsidR="009B4043">
        <w:rPr>
          <w:rFonts w:ascii="Arial" w:eastAsia="Times New Roman" w:hAnsi="Arial" w:cs="Arial"/>
          <w:b/>
          <w:bCs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lang w:eastAsia="es-CO"/>
        </w:rPr>
        <w:t>L</w:t>
      </w:r>
      <w:r w:rsidR="009B4043">
        <w:rPr>
          <w:rFonts w:ascii="Arial" w:eastAsia="Times New Roman" w:hAnsi="Arial" w:cs="Arial"/>
          <w:b/>
          <w:bCs/>
          <w:lang w:eastAsia="es-CO"/>
        </w:rPr>
        <w:t>A</w:t>
      </w:r>
      <w:r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9B4043">
        <w:rPr>
          <w:rFonts w:ascii="Arial" w:eastAsia="Times New Roman" w:hAnsi="Arial" w:cs="Arial"/>
          <w:b/>
          <w:bCs/>
          <w:lang w:eastAsia="es-CO"/>
        </w:rPr>
        <w:t xml:space="preserve">ESTRATEGIA </w:t>
      </w:r>
      <w:r w:rsidRPr="00811F9D">
        <w:rPr>
          <w:rFonts w:ascii="Arial" w:eastAsia="Times New Roman" w:hAnsi="Arial" w:cs="Arial"/>
          <w:b/>
          <w:bCs/>
          <w:lang w:eastAsia="es-CO"/>
        </w:rPr>
        <w:t>DE PARTICIPACION CIUDADANA</w:t>
      </w:r>
    </w:p>
    <w:p w14:paraId="6E3D3DEA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B07F68">
        <w:rPr>
          <w:rFonts w:ascii="Arial" w:eastAsia="Times New Roman" w:hAnsi="Arial" w:cs="Arial"/>
          <w:b/>
          <w:bCs/>
          <w:lang w:eastAsia="es-CO"/>
        </w:rPr>
        <w:t>VIGENCIA 2020</w:t>
      </w:r>
    </w:p>
    <w:p w14:paraId="3E7D3498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4577087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0984C58F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59BC29C" w14:textId="77777777" w:rsidR="004D3CB3" w:rsidRPr="00811F9D" w:rsidRDefault="004D3CB3" w:rsidP="007C473E">
      <w:pPr>
        <w:spacing w:after="200" w:line="240" w:lineRule="auto"/>
        <w:rPr>
          <w:rFonts w:ascii="Arial" w:eastAsia="Times New Roman" w:hAnsi="Arial" w:cs="Arial"/>
          <w:b/>
          <w:bCs/>
          <w:lang w:eastAsia="es-CO"/>
        </w:rPr>
      </w:pPr>
    </w:p>
    <w:p w14:paraId="0385B557" w14:textId="77777777"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3B8A75D7" w14:textId="77777777"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49D78B87" w14:textId="77777777" w:rsidR="004D3CB3" w:rsidRPr="00811F9D" w:rsidRDefault="004D3CB3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</w:p>
    <w:p w14:paraId="6D108C63" w14:textId="77777777" w:rsidR="004D3CB3" w:rsidRPr="00811F9D" w:rsidRDefault="00B07F68" w:rsidP="004D3CB3">
      <w:pPr>
        <w:spacing w:after="20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>
        <w:rPr>
          <w:rFonts w:ascii="Arial" w:eastAsia="Times New Roman" w:hAnsi="Arial" w:cs="Arial"/>
          <w:b/>
          <w:bCs/>
          <w:lang w:eastAsia="es-CO"/>
        </w:rPr>
        <w:t>BOGOTÁ D.C., ENERO DE 2021</w:t>
      </w:r>
    </w:p>
    <w:p w14:paraId="2EE6A3B5" w14:textId="77777777" w:rsidR="004D3CB3" w:rsidRDefault="004D3CB3" w:rsidP="004D3CB3">
      <w:pPr>
        <w:jc w:val="center"/>
        <w:rPr>
          <w:rFonts w:ascii="Arial" w:hAnsi="Arial" w:cs="Arial"/>
          <w:b/>
          <w:sz w:val="24"/>
          <w:szCs w:val="24"/>
        </w:rPr>
      </w:pPr>
    </w:p>
    <w:p w14:paraId="61232667" w14:textId="77777777" w:rsidR="004D3CB3" w:rsidRDefault="004D3CB3" w:rsidP="004D3CB3">
      <w:pPr>
        <w:jc w:val="center"/>
        <w:rPr>
          <w:rFonts w:ascii="Arial" w:hAnsi="Arial" w:cs="Arial"/>
          <w:b/>
          <w:sz w:val="24"/>
          <w:szCs w:val="24"/>
        </w:rPr>
      </w:pPr>
    </w:p>
    <w:p w14:paraId="1C851A7B" w14:textId="77777777" w:rsidR="00456B41" w:rsidRDefault="00456B41" w:rsidP="00440DA2">
      <w:pPr>
        <w:tabs>
          <w:tab w:val="left" w:pos="567"/>
        </w:tabs>
        <w:spacing w:after="200" w:line="240" w:lineRule="auto"/>
        <w:jc w:val="center"/>
        <w:rPr>
          <w:rFonts w:ascii="Arial" w:eastAsia="Times New Roman" w:hAnsi="Arial" w:cs="Arial"/>
          <w:b/>
          <w:lang w:eastAsia="es-CO"/>
        </w:rPr>
      </w:pPr>
    </w:p>
    <w:p w14:paraId="3955AB17" w14:textId="0E23E5F3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INFORME </w:t>
      </w:r>
      <w:r>
        <w:rPr>
          <w:rFonts w:ascii="Arial" w:eastAsia="Times New Roman" w:hAnsi="Arial" w:cs="Arial"/>
          <w:b/>
          <w:bCs/>
          <w:lang w:eastAsia="es-CO"/>
        </w:rPr>
        <w:t>CONSOLIDADO DE</w:t>
      </w:r>
      <w:r w:rsidR="00BD17D4">
        <w:rPr>
          <w:rFonts w:ascii="Arial" w:eastAsia="Times New Roman" w:hAnsi="Arial" w:cs="Arial"/>
          <w:b/>
          <w:bCs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lang w:eastAsia="es-CO"/>
        </w:rPr>
        <w:t>L</w:t>
      </w:r>
      <w:r w:rsidR="00BD17D4">
        <w:rPr>
          <w:rFonts w:ascii="Arial" w:eastAsia="Times New Roman" w:hAnsi="Arial" w:cs="Arial"/>
          <w:b/>
          <w:bCs/>
          <w:lang w:eastAsia="es-CO"/>
        </w:rPr>
        <w:t>A</w:t>
      </w:r>
      <w:r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386893">
        <w:rPr>
          <w:rFonts w:ascii="Arial" w:eastAsia="Times New Roman" w:hAnsi="Arial" w:cs="Arial"/>
          <w:b/>
          <w:bCs/>
          <w:lang w:eastAsia="es-CO"/>
        </w:rPr>
        <w:t>ESTRATEGIA</w:t>
      </w:r>
      <w:r w:rsidRPr="00811F9D">
        <w:rPr>
          <w:rFonts w:ascii="Arial" w:eastAsia="Times New Roman" w:hAnsi="Arial" w:cs="Arial"/>
          <w:b/>
          <w:bCs/>
          <w:lang w:eastAsia="es-CO"/>
        </w:rPr>
        <w:t xml:space="preserve"> DE PARTICIPACION CIUDADANA</w:t>
      </w:r>
    </w:p>
    <w:p w14:paraId="269152FF" w14:textId="77777777" w:rsidR="004D3CB3" w:rsidRPr="00811F9D" w:rsidRDefault="004D3CB3" w:rsidP="004D3C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es-CO"/>
        </w:rPr>
      </w:pPr>
      <w:r w:rsidRPr="00811F9D">
        <w:rPr>
          <w:rFonts w:ascii="Arial" w:eastAsia="Times New Roman" w:hAnsi="Arial" w:cs="Arial"/>
          <w:b/>
          <w:bCs/>
          <w:lang w:eastAsia="es-CO"/>
        </w:rPr>
        <w:t xml:space="preserve"> </w:t>
      </w:r>
      <w:r w:rsidR="00B07F68">
        <w:rPr>
          <w:rFonts w:ascii="Arial" w:eastAsia="Times New Roman" w:hAnsi="Arial" w:cs="Arial"/>
          <w:b/>
          <w:bCs/>
          <w:lang w:eastAsia="es-CO"/>
        </w:rPr>
        <w:t>VIGENCIA 2020</w:t>
      </w:r>
    </w:p>
    <w:p w14:paraId="3029B89C" w14:textId="77777777" w:rsidR="00440DA2" w:rsidRDefault="00440DA2" w:rsidP="00675E43"/>
    <w:p w14:paraId="4B9C0672" w14:textId="77777777" w:rsidR="00B07F68" w:rsidRDefault="00B07F68" w:rsidP="00593B2A">
      <w:pPr>
        <w:jc w:val="both"/>
      </w:pPr>
    </w:p>
    <w:p w14:paraId="3BB03215" w14:textId="60BED296" w:rsidR="00B07F68" w:rsidRDefault="00B07F68" w:rsidP="00593B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resolución 265 del 31 de agosto de 2020 emitida por la Directora General del Instituto Distrital de Recreación y Deporte –IDRD- se delegó a la </w:t>
      </w:r>
      <w:proofErr w:type="gramStart"/>
      <w:r>
        <w:rPr>
          <w:rFonts w:ascii="Arial" w:hAnsi="Arial" w:cs="Arial"/>
          <w:sz w:val="24"/>
          <w:szCs w:val="24"/>
        </w:rPr>
        <w:t>Jefe</w:t>
      </w:r>
      <w:proofErr w:type="gramEnd"/>
      <w:r>
        <w:rPr>
          <w:rFonts w:ascii="Arial" w:hAnsi="Arial" w:cs="Arial"/>
          <w:sz w:val="24"/>
          <w:szCs w:val="24"/>
        </w:rPr>
        <w:t xml:space="preserve"> de la Oficina de Asuntos Locales, la puesta en marcha </w:t>
      </w:r>
      <w:r w:rsidR="00D0098D">
        <w:rPr>
          <w:rFonts w:ascii="Arial" w:hAnsi="Arial" w:cs="Arial"/>
          <w:sz w:val="24"/>
          <w:szCs w:val="24"/>
        </w:rPr>
        <w:t>de la Estrategia de Participación Ciudadana.</w:t>
      </w:r>
    </w:p>
    <w:p w14:paraId="717E3454" w14:textId="77777777" w:rsidR="001711E0" w:rsidRDefault="00B07F68" w:rsidP="00593B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en esas disposiciones, en su rol de segunda línea de defensa, le corresponde a la Oficina de Asuntos Locales brindar acompañamiento técnico y metodológico en los procesos de formulación del Plan de </w:t>
      </w:r>
      <w:r w:rsidR="001711E0">
        <w:rPr>
          <w:rFonts w:ascii="Arial" w:hAnsi="Arial" w:cs="Arial"/>
          <w:sz w:val="24"/>
          <w:szCs w:val="24"/>
        </w:rPr>
        <w:t>Participación</w:t>
      </w:r>
      <w:r>
        <w:rPr>
          <w:rFonts w:ascii="Arial" w:hAnsi="Arial" w:cs="Arial"/>
          <w:sz w:val="24"/>
          <w:szCs w:val="24"/>
        </w:rPr>
        <w:t xml:space="preserve"> Ciudadana</w:t>
      </w:r>
      <w:r w:rsidR="001711E0">
        <w:rPr>
          <w:rFonts w:ascii="Arial" w:hAnsi="Arial" w:cs="Arial"/>
          <w:sz w:val="24"/>
          <w:szCs w:val="24"/>
        </w:rPr>
        <w:t xml:space="preserve"> a las demás subdirecciones y áreas que integran el Comité Institucional de Gestión y Desempeño</w:t>
      </w:r>
      <w:r w:rsidR="001711E0"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1711E0">
        <w:rPr>
          <w:rFonts w:ascii="Arial" w:hAnsi="Arial" w:cs="Arial"/>
          <w:sz w:val="24"/>
          <w:szCs w:val="24"/>
        </w:rPr>
        <w:t xml:space="preserve">, como también, hacer el seguimiento al cumplimiento de las actividades desarrolladas en el marco del Plan de Participación Ciudadana 2020. </w:t>
      </w:r>
    </w:p>
    <w:p w14:paraId="11AA7F84" w14:textId="77777777" w:rsidR="00675E43" w:rsidRPr="00B62056" w:rsidRDefault="001711E0" w:rsidP="00593B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anterior, se realizó un seguimiento trimestral de dichas actividades las cuales se relacionan a continuación: </w:t>
      </w:r>
      <w:r w:rsidR="00B07F68">
        <w:rPr>
          <w:rFonts w:ascii="Arial" w:hAnsi="Arial" w:cs="Arial"/>
          <w:sz w:val="24"/>
          <w:szCs w:val="24"/>
        </w:rPr>
        <w:t xml:space="preserve"> </w:t>
      </w:r>
    </w:p>
    <w:tbl>
      <w:tblPr>
        <w:tblW w:w="920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2501"/>
        <w:gridCol w:w="1842"/>
        <w:gridCol w:w="1560"/>
        <w:gridCol w:w="567"/>
        <w:gridCol w:w="425"/>
        <w:gridCol w:w="567"/>
        <w:gridCol w:w="425"/>
      </w:tblGrid>
      <w:tr w:rsidR="006E78AC" w:rsidRPr="00DB7F25" w14:paraId="585CD101" w14:textId="77777777" w:rsidTr="00DB7F25">
        <w:trPr>
          <w:trHeight w:val="330"/>
          <w:tblHeader/>
        </w:trPr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noWrap/>
            <w:vAlign w:val="center"/>
            <w:hideMark/>
          </w:tcPr>
          <w:p w14:paraId="54EAAE50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PROCESO </w:t>
            </w:r>
          </w:p>
        </w:tc>
        <w:tc>
          <w:tcPr>
            <w:tcW w:w="2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vAlign w:val="center"/>
            <w:hideMark/>
          </w:tcPr>
          <w:p w14:paraId="4A2E1837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ACTIVIDAD A REALIZAR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vAlign w:val="center"/>
            <w:hideMark/>
          </w:tcPr>
          <w:p w14:paraId="6563D80F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 xml:space="preserve">FASE DEL CICLO DE GESTIÓN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EAAAA" w:fill="D0CECE"/>
            <w:vAlign w:val="center"/>
            <w:hideMark/>
          </w:tcPr>
          <w:p w14:paraId="4264AEBC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NIVEL DE PARTICIPACIÓN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EAAAA" w:fill="F2F2F2"/>
            <w:vAlign w:val="center"/>
            <w:hideMark/>
          </w:tcPr>
          <w:p w14:paraId="2B9042BB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TRIMESTRE</w:t>
            </w:r>
          </w:p>
        </w:tc>
      </w:tr>
      <w:tr w:rsidR="006E78AC" w:rsidRPr="00DB7F25" w14:paraId="574FC6BB" w14:textId="77777777" w:rsidTr="00DB7F25">
        <w:trPr>
          <w:trHeight w:val="255"/>
          <w:tblHeader/>
        </w:trPr>
        <w:tc>
          <w:tcPr>
            <w:tcW w:w="13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CB01BB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0E5221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184BE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E552D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66542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75A82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981CA6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III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8FC39A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IV</w:t>
            </w:r>
          </w:p>
        </w:tc>
      </w:tr>
      <w:tr w:rsidR="006E78AC" w:rsidRPr="00DB7F25" w14:paraId="5BC1F822" w14:textId="77777777" w:rsidTr="00DB7F25">
        <w:trPr>
          <w:trHeight w:val="644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E155" w14:textId="77777777" w:rsidR="00B62056" w:rsidRPr="00B62056" w:rsidRDefault="00B62056" w:rsidP="00B62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56">
              <w:rPr>
                <w:rFonts w:ascii="Arial" w:hAnsi="Arial" w:cs="Arial"/>
                <w:color w:val="000000"/>
                <w:sz w:val="16"/>
                <w:szCs w:val="16"/>
              </w:rPr>
              <w:t>Gestión de comunicaciones</w:t>
            </w:r>
          </w:p>
          <w:p w14:paraId="39DC34D9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40CC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Realizar 1 sondeo a los ciudadanos respecto a la claridad y accesibilidad de la información en la página web</w:t>
            </w: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B565" w14:textId="77777777" w:rsidR="006E78AC" w:rsidRPr="006E78AC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Diagnostico 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AA7" w14:textId="77777777" w:rsid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c</w:t>
            </w: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ontrol y evaluación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  <w:p w14:paraId="6B0913E4" w14:textId="77777777" w:rsidR="00B62056" w:rsidRPr="006E78AC" w:rsidRDefault="00B62056" w:rsidP="00B620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FE6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EDF3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637C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6E94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6E78AC" w:rsidRPr="00DB7F25" w14:paraId="36264AAB" w14:textId="77777777" w:rsidTr="00DB7F25">
        <w:trPr>
          <w:trHeight w:val="84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3B591E6C" w14:textId="77777777" w:rsidR="00B62056" w:rsidRPr="00B62056" w:rsidRDefault="00B62056" w:rsidP="00B620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62056">
              <w:rPr>
                <w:rFonts w:ascii="Arial" w:hAnsi="Arial" w:cs="Arial"/>
                <w:color w:val="000000"/>
                <w:sz w:val="16"/>
                <w:szCs w:val="16"/>
              </w:rPr>
              <w:t xml:space="preserve">Diseño y construcción de parques y escenarios </w:t>
            </w:r>
          </w:p>
          <w:p w14:paraId="64F0E88D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091668D4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Presentar a los beneficiarios del plan de gestión social en los proyectos de diseño y construcción de parques y escenarios, para su ejecución participativa.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3BC04D4E" w14:textId="77777777" w:rsidR="006E78AC" w:rsidRPr="00B62056" w:rsidRDefault="00B62056" w:rsidP="00B620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2056">
              <w:rPr>
                <w:rFonts w:ascii="Arial" w:hAnsi="Arial" w:cs="Arial"/>
                <w:color w:val="000000"/>
                <w:sz w:val="14"/>
                <w:szCs w:val="14"/>
              </w:rPr>
              <w:t>Ejecución e implementación participativa</w:t>
            </w:r>
            <w:r w:rsidRPr="00B62056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B62056">
              <w:rPr>
                <w:rFonts w:ascii="Arial" w:hAnsi="Arial" w:cs="Arial"/>
                <w:color w:val="000000"/>
                <w:sz w:val="14"/>
                <w:szCs w:val="14"/>
              </w:rPr>
              <w:br/>
              <w:t>Evaluación y control social.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5B627D54" w14:textId="77777777" w:rsidR="00B62056" w:rsidRPr="00B62056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6C6EF11B" w14:textId="77777777" w:rsidR="00B62056" w:rsidRPr="00B62056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</w:t>
            </w:r>
          </w:p>
          <w:p w14:paraId="772480BB" w14:textId="77777777" w:rsidR="006E78AC" w:rsidRPr="006E78AC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4E6B83BD" w14:textId="77777777" w:rsidR="006E78AC" w:rsidRPr="006E78AC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0DA9C29A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449B58B9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16A795B0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6E78AC" w:rsidRPr="00DB7F25" w14:paraId="6119077E" w14:textId="77777777" w:rsidTr="00DB7F25">
        <w:trPr>
          <w:trHeight w:val="842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51C4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2B4CCFA1" w14:textId="77777777" w:rsidR="00B62056" w:rsidRPr="00B62056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Conformación de comités de participación ciudadana en proyectos de obra de parques y escenarios</w:t>
            </w:r>
          </w:p>
          <w:p w14:paraId="3CC61E0B" w14:textId="77777777" w:rsidR="00B62056" w:rsidRPr="00B62056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  <w:p w14:paraId="177B5B93" w14:textId="77777777" w:rsidR="006E78AC" w:rsidRPr="006E78AC" w:rsidRDefault="00B62056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Nota: Los comités se conforman en reunión de inicio de obra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7274C621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04E1D4E1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66B07D00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1BB84ADC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081C95F1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DC3E6" w:fill="F2F2F2"/>
            <w:vAlign w:val="center"/>
            <w:hideMark/>
          </w:tcPr>
          <w:p w14:paraId="4BB104FC" w14:textId="77777777" w:rsidR="006E78AC" w:rsidRPr="006E78AC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0</w:t>
            </w:r>
          </w:p>
        </w:tc>
      </w:tr>
      <w:tr w:rsidR="00FF645C" w:rsidRPr="00DB7F25" w14:paraId="331514AE" w14:textId="77777777" w:rsidTr="0029715B">
        <w:trPr>
          <w:trHeight w:val="673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5B6" w14:textId="77777777" w:rsidR="00FF645C" w:rsidRPr="00B62056" w:rsidRDefault="00FF645C" w:rsidP="00B6205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62056">
              <w:rPr>
                <w:rFonts w:ascii="Arial" w:hAnsi="Arial" w:cs="Arial"/>
                <w:color w:val="000000"/>
                <w:sz w:val="14"/>
                <w:szCs w:val="14"/>
              </w:rPr>
              <w:t>Fomento al Deporte.</w:t>
            </w:r>
          </w:p>
          <w:p w14:paraId="1FE7B10A" w14:textId="77777777" w:rsidR="00FF645C" w:rsidRPr="00B62056" w:rsidRDefault="00FF645C" w:rsidP="006E78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8FC5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una reunión con los deportistas del Registro de Bogotá que participaron en los juegos Nacionales y Para nacionales 2019, con el objetivo de evaluar el proceso 2019 y proyectar el actuar hacía 2023.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8D1" w14:textId="77777777" w:rsidR="00FF645C" w:rsidRPr="00B62056" w:rsidRDefault="00FF645C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Diagnóstico</w:t>
            </w:r>
          </w:p>
          <w:p w14:paraId="49E54202" w14:textId="77777777" w:rsidR="00FF645C" w:rsidRPr="00B62056" w:rsidRDefault="00FF645C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</w:t>
            </w:r>
          </w:p>
          <w:p w14:paraId="7B221686" w14:textId="77777777" w:rsidR="00FF645C" w:rsidRPr="006E78AC" w:rsidRDefault="00FF645C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DAD" w14:textId="77777777" w:rsidR="00FF645C" w:rsidRPr="00B62056" w:rsidRDefault="00FF645C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1DFEBE60" w14:textId="77777777" w:rsidR="00FF645C" w:rsidRPr="006E78AC" w:rsidRDefault="00FF645C" w:rsidP="00B620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B6205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2B43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0A1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91C7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71B5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FF645C" w:rsidRPr="00DB7F25" w14:paraId="339CDAB4" w14:textId="77777777" w:rsidTr="0029715B">
        <w:trPr>
          <w:trHeight w:val="981"/>
        </w:trPr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EA7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9588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Realizar una reunión o mesa de trabajo con los padres de familia como seguimiento a la estructura pedagógica de las actividades contempladas en la estrategia de la Escuela de Natación del Complejo Acuático Simón Bolívar - CASB.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C95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Implementación y ejecución participativa.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25E" w14:textId="77777777" w:rsidR="00FF645C" w:rsidRPr="00FF645C" w:rsidRDefault="00FF645C" w:rsidP="00FF64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F645C">
              <w:rPr>
                <w:rFonts w:ascii="Arial" w:hAnsi="Arial" w:cs="Arial"/>
                <w:sz w:val="14"/>
                <w:szCs w:val="14"/>
              </w:rPr>
              <w:t xml:space="preserve">Consulta </w:t>
            </w:r>
            <w:r w:rsidRPr="00FF645C">
              <w:rPr>
                <w:rFonts w:ascii="Arial" w:hAnsi="Arial" w:cs="Arial"/>
                <w:sz w:val="14"/>
                <w:szCs w:val="14"/>
              </w:rPr>
              <w:br/>
              <w:t>Ejecución</w:t>
            </w:r>
          </w:p>
          <w:p w14:paraId="5DB4A980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D08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5D93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902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BBF1" w14:textId="77777777" w:rsidR="00FF645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6E78AC" w:rsidRPr="00DB7F25" w14:paraId="232ABBCD" w14:textId="77777777" w:rsidTr="00DB7F25">
        <w:trPr>
          <w:trHeight w:val="1639"/>
        </w:trPr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EF02D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lastRenderedPageBreak/>
              <w:t>Fomento al Deporte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D0BE72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una reunión con los deportistas del Registro de Bogotá con el fin de hacer revisión frente a los lineamientos del Programa de Rendimiento Deportivo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E26FBEB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Diagnóstico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9B64C7" w14:textId="77777777" w:rsidR="00FF645C" w:rsidRPr="00FF645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3C75EA41" w14:textId="77777777" w:rsidR="006E78AC" w:rsidRPr="006E78A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A88FCA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A0F97E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90510F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8270B6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</w:tr>
      <w:tr w:rsidR="006E78AC" w:rsidRPr="00DB7F25" w14:paraId="36A30E6B" w14:textId="77777777" w:rsidTr="00DB7F25">
        <w:trPr>
          <w:trHeight w:val="1123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7E77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C770A7" w14:textId="77777777" w:rsidR="00FF645C" w:rsidRPr="00FF645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3 reuniones con los líderes o representantes de las instituciones amigas donde se desarrollará el componente de alfabetización física para fortalecer las intervenciones y articular las acciones.</w:t>
            </w:r>
          </w:p>
          <w:p w14:paraId="64396CD7" w14:textId="77777777" w:rsidR="00FF645C" w:rsidRPr="00FF645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  <w:p w14:paraId="0A115A76" w14:textId="77777777" w:rsidR="006E78AC" w:rsidRPr="006E78A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(Realizar 3 reuniones con los padres de familia para evaluar y realizar seguimiento a las instituciones educativas donde se desarrollará el SSEO)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C818FD" w14:textId="77777777" w:rsidR="006E78AC" w:rsidRPr="006E78A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737D9F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 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A72330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8FDCDE5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D07B6C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1B9EAC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</w:tr>
      <w:tr w:rsidR="006E78AC" w:rsidRPr="00DB7F25" w14:paraId="4704F68C" w14:textId="77777777" w:rsidTr="00DB7F25">
        <w:trPr>
          <w:trHeight w:val="699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E1DC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21773B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Realizar tres reuniones con los beneficiarios del programa Deporte para la Vida - </w:t>
            </w:r>
            <w:proofErr w:type="gramStart"/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Atletismo  con</w:t>
            </w:r>
            <w:proofErr w:type="gramEnd"/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el fin de identificar las necesidad y expectativas del programa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E8091F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Diagnostico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B2B94F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7BFDBE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C22708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6042E9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F3B8CA" w14:textId="77777777" w:rsidR="00FF645C" w:rsidRPr="006E78A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</w:t>
            </w:r>
          </w:p>
        </w:tc>
      </w:tr>
      <w:tr w:rsidR="006E78AC" w:rsidRPr="00DB7F25" w14:paraId="15D4CD82" w14:textId="77777777" w:rsidTr="00DB7F25">
        <w:trPr>
          <w:trHeight w:val="1404"/>
        </w:trPr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388B" w14:textId="77777777" w:rsidR="006E78AC" w:rsidRPr="006E78AC" w:rsidRDefault="006E78AC" w:rsidP="006E7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4D049C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Realizar tres mesas de trabajo con representantes del sector deportivo y recreativo, para identificar   propuestas de mejoras en la implementación y/o ejecución del proyecto de inversión 7854 Formación de Niños, Niñas, Adolescentes y Jóvenes, en las Disciplinas Deportivas Priorizadas, en el Marco de la Jornada Escolar Complementaria en Bogotá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B6C5E3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Diagnostico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D280FD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B3690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590530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28B1DE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3C6AAA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</w:tr>
      <w:tr w:rsidR="00DB7F25" w:rsidRPr="00DB7F25" w14:paraId="7FE074CB" w14:textId="77777777" w:rsidTr="00FF645C">
        <w:trPr>
          <w:trHeight w:val="985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AE39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Promoción de la Recreación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8ACF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Participar en las instancias de </w:t>
            </w:r>
            <w:proofErr w:type="gramStart"/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coordinación  para</w:t>
            </w:r>
            <w:proofErr w:type="gramEnd"/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evaluar las acciones realizadas con la población que son objeto de Políticas Públicas en el Distrito.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9B0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63C2" w14:textId="77777777" w:rsidR="00FF645C" w:rsidRPr="00FF645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5C1BD5C1" w14:textId="77777777" w:rsidR="006E78AC" w:rsidRPr="006E78A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2382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642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F7B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51E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DB7F25" w:rsidRPr="00DB7F25" w14:paraId="7F633E1F" w14:textId="77777777" w:rsidTr="00FF645C">
        <w:trPr>
          <w:trHeight w:val="9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917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Promoción de la Recreación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DF40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Participar en las instancias de </w:t>
            </w:r>
            <w:proofErr w:type="gramStart"/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coordinación  para</w:t>
            </w:r>
            <w:proofErr w:type="gramEnd"/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 xml:space="preserve"> concertar los planes de acción con las poblaciones asociados a las Políticas Públicas en las que participa la Subdirección Técnica de Recreación y Deporte - STRD  del IDRD y realizar el seguimiento de acuerdo a la periodicidad establecida en cada política.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034" w14:textId="77777777" w:rsidR="006E78AC" w:rsidRPr="006E78AC" w:rsidRDefault="00FF645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Formulación Participativa 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5F9" w14:textId="77777777" w:rsidR="00FF645C" w:rsidRPr="00FF645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43048C4E" w14:textId="77777777" w:rsidR="006E78AC" w:rsidRPr="006E78AC" w:rsidRDefault="00FF645C" w:rsidP="00FF64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F645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66ED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5CBB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6E78AC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221D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482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15</w:t>
            </w:r>
          </w:p>
        </w:tc>
      </w:tr>
      <w:tr w:rsidR="00DB7F25" w:rsidRPr="00DB7F25" w14:paraId="0B534505" w14:textId="77777777" w:rsidTr="00F56391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35BB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Administración y mantenimiento de parques y escenarios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1430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implementar planes de gestión social en los contratos de mantenimiento que incluyan el componente de gestión social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3355" w14:textId="77777777" w:rsidR="00F56391" w:rsidRPr="00F56391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 e implementación participativa</w:t>
            </w:r>
          </w:p>
          <w:p w14:paraId="0DADF8B5" w14:textId="77777777" w:rsidR="006E78AC" w:rsidRPr="006E78AC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Evaluación y control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ED67" w14:textId="77777777" w:rsidR="00F56391" w:rsidRPr="00F56391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17E2645C" w14:textId="77777777" w:rsidR="00F56391" w:rsidRPr="00F56391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</w:t>
            </w:r>
          </w:p>
          <w:p w14:paraId="6330CC07" w14:textId="77777777" w:rsidR="006E78AC" w:rsidRPr="006E78AC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01A2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7C92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A2EB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B57D" w14:textId="77777777" w:rsidR="006E78AC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5</w:t>
            </w:r>
          </w:p>
        </w:tc>
      </w:tr>
      <w:tr w:rsidR="00B62056" w:rsidRPr="00DB7F25" w14:paraId="78584213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4AB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Administración y mantenimiento de parques y escenarios</w:t>
            </w:r>
          </w:p>
          <w:p w14:paraId="476D6245" w14:textId="77777777" w:rsidR="00B62056" w:rsidRPr="00F56391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DC37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Conformación de comités de participación y control social en los proyectos de mantenimiento que cuenten con componente social y en donde se evidencie interés de la comunidad para su conformación.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Nota: la profesional social de la Subdirección Técnica de Parques validará los reportes de los contratistas sobre la no existencia de 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interés comunitario para la conformación del comité. </w:t>
            </w:r>
          </w:p>
          <w:p w14:paraId="5A8FFA14" w14:textId="77777777" w:rsidR="00B62056" w:rsidRPr="00F56391" w:rsidRDefault="00B62056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B1C6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Ejecución e implementación participativa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>Evaluación y control social</w:t>
            </w:r>
          </w:p>
          <w:p w14:paraId="37A5D0F9" w14:textId="77777777" w:rsidR="00B62056" w:rsidRPr="00F56391" w:rsidRDefault="00B62056" w:rsidP="00F56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A457" w14:textId="77777777" w:rsidR="00F56391" w:rsidRPr="00F56391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Participación</w:t>
            </w:r>
          </w:p>
          <w:p w14:paraId="37038D2D" w14:textId="77777777" w:rsidR="00F56391" w:rsidRPr="00F56391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Ejecución</w:t>
            </w:r>
          </w:p>
          <w:p w14:paraId="1E4BBCA9" w14:textId="77777777" w:rsidR="00B62056" w:rsidRPr="00F56391" w:rsidRDefault="00F56391" w:rsidP="00F56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 w:rsidRPr="00F5639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Control y evaluación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538B" w14:textId="77777777" w:rsidR="00B62056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E586" w14:textId="77777777" w:rsidR="00B62056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F9FB" w14:textId="77777777" w:rsidR="00B62056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E3C9" w14:textId="77777777" w:rsidR="00B62056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F56391" w:rsidRPr="00DB7F25" w14:paraId="0217CAD4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CB9D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Administración y mantenimiento de parques y escenarios</w:t>
            </w:r>
          </w:p>
          <w:p w14:paraId="2CEF286B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5760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Ejecutar acuerdos ciudadanos para la sostenibilidad social de los parques</w:t>
            </w:r>
          </w:p>
          <w:p w14:paraId="6B9AFB27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FBFB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 e implementación participativa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>Evaluación y control social</w:t>
            </w:r>
          </w:p>
          <w:p w14:paraId="684CACEA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279F4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Participación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>Ejecución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>Control y evaluación</w:t>
            </w:r>
          </w:p>
          <w:p w14:paraId="6E5D6386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FC60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A98B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1BF4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2D0A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F56391" w:rsidRPr="00DB7F25" w14:paraId="4358ED4B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D399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Administración y mantenimiento de parques y escenarios</w:t>
            </w:r>
          </w:p>
          <w:p w14:paraId="7DDE7158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28DD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Realizar dos diálogos ciudadanos para la participación social</w:t>
            </w:r>
          </w:p>
          <w:p w14:paraId="2FBF95B4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F80D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Diagnóstico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>Evaluación y control social</w:t>
            </w:r>
          </w:p>
          <w:p w14:paraId="7BDEE682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F6A0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 xml:space="preserve">Consulta  </w:t>
            </w: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br/>
              <w:t>Participación</w:t>
            </w:r>
          </w:p>
          <w:p w14:paraId="312B1318" w14:textId="77777777" w:rsidR="00F56391" w:rsidRP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57AF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7DA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9E2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DE53" w14:textId="77777777" w:rsidR="00F56391" w:rsidRPr="006E78AC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</w:t>
            </w:r>
          </w:p>
        </w:tc>
      </w:tr>
      <w:tr w:rsidR="00F56391" w:rsidRPr="00DB7F25" w14:paraId="1ED1FC7A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399A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Administración y mantenimiento de parques y escenarios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9D3D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Desarrollar espacios de participación ciudadana orientados a la sostenibilidad social en parques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1442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125C8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4285" w14:textId="77777777" w:rsidR="00F56391" w:rsidRDefault="00F56391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119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D27D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EE15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9251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53</w:t>
            </w:r>
          </w:p>
        </w:tc>
      </w:tr>
      <w:tr w:rsidR="00F56391" w:rsidRPr="00DB7F25" w14:paraId="28A64CC7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9FFF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Direccionamiento Estratégico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E502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 xml:space="preserve">Publicar a través de la página web la invitación a la ciudadanía en general </w:t>
            </w:r>
            <w:proofErr w:type="gramStart"/>
            <w:r w:rsidRPr="00F56391">
              <w:rPr>
                <w:rFonts w:ascii="Arial" w:hAnsi="Arial" w:cs="Arial"/>
                <w:sz w:val="14"/>
                <w:szCs w:val="14"/>
              </w:rPr>
              <w:t>para  la</w:t>
            </w:r>
            <w:proofErr w:type="gramEnd"/>
            <w:r w:rsidRPr="00F56391">
              <w:rPr>
                <w:rFonts w:ascii="Arial" w:hAnsi="Arial" w:cs="Arial"/>
                <w:sz w:val="14"/>
                <w:szCs w:val="14"/>
              </w:rPr>
              <w:t xml:space="preserve"> formulación participativa del PAAC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62CE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Formulación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53F2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Consulta y participación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6653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37ED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344D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2019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</w:tr>
      <w:tr w:rsidR="00F56391" w:rsidRPr="00DB7F25" w14:paraId="651FCA42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4523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Gestión Asuntos Locales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1733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Capacitar en el ejercicio del control social a los miembros de 20 consejos locales del DRAFE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BDF1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AC27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 xml:space="preserve">Participación </w:t>
            </w:r>
          </w:p>
          <w:p w14:paraId="1F4F39B3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4039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AD63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9145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E9E6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20</w:t>
            </w:r>
          </w:p>
        </w:tc>
      </w:tr>
      <w:tr w:rsidR="00F56391" w:rsidRPr="00DB7F25" w14:paraId="696C7714" w14:textId="77777777" w:rsidTr="00DB7F25">
        <w:trPr>
          <w:trHeight w:val="829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3E8A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>Gestión Asuntos Locales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F192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391">
              <w:rPr>
                <w:rFonts w:ascii="Arial" w:hAnsi="Arial" w:cs="Arial"/>
                <w:sz w:val="14"/>
                <w:szCs w:val="14"/>
              </w:rPr>
              <w:t xml:space="preserve">Capacitar sobre el Decreto 768 del 17 de diciembre de 2019 por medio del cual se reglamente al acuerdo 740 de 2019 y se dictan otras </w:t>
            </w:r>
            <w:proofErr w:type="gramStart"/>
            <w:r w:rsidRPr="00F56391">
              <w:rPr>
                <w:rFonts w:ascii="Arial" w:hAnsi="Arial" w:cs="Arial"/>
                <w:sz w:val="14"/>
                <w:szCs w:val="14"/>
              </w:rPr>
              <w:t>disposiciones  a</w:t>
            </w:r>
            <w:proofErr w:type="gramEnd"/>
            <w:r w:rsidRPr="00F56391">
              <w:rPr>
                <w:rFonts w:ascii="Arial" w:hAnsi="Arial" w:cs="Arial"/>
                <w:sz w:val="14"/>
                <w:szCs w:val="14"/>
              </w:rPr>
              <w:t xml:space="preserve"> los presidentes, secretarios, técnicos y delegados, miembros de los 20 consejos locales del DRAFE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6C26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 e implementación participativa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95E4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 xml:space="preserve">Participación </w:t>
            </w:r>
          </w:p>
          <w:p w14:paraId="7F462C7C" w14:textId="77777777" w:rsidR="00F56391" w:rsidRPr="00F56391" w:rsidRDefault="00F56391" w:rsidP="00F5639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391">
              <w:rPr>
                <w:rFonts w:ascii="Arial" w:hAnsi="Arial" w:cs="Arial"/>
                <w:color w:val="000000"/>
                <w:sz w:val="14"/>
                <w:szCs w:val="14"/>
              </w:rPr>
              <w:t>Ejecución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E07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7B7C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0ED4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9922" w14:textId="77777777" w:rsidR="00F56391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  <w:t>20</w:t>
            </w:r>
          </w:p>
        </w:tc>
      </w:tr>
      <w:tr w:rsidR="00DB7F25" w:rsidRPr="00DB7F25" w14:paraId="6D8E37E2" w14:textId="77777777" w:rsidTr="00DB7F25">
        <w:trPr>
          <w:trHeight w:val="5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3048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F0DA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CBF7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8FFB" w14:textId="77777777" w:rsidR="006E78AC" w:rsidRPr="006E78AC" w:rsidRDefault="006E78AC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7470" w14:textId="77777777" w:rsidR="006E78AC" w:rsidRPr="006E78AC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C7E0" w14:textId="77777777" w:rsidR="006E78AC" w:rsidRPr="006E78AC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B863" w14:textId="77777777" w:rsidR="006E78AC" w:rsidRPr="006E78AC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89E7" w14:textId="77777777" w:rsidR="006E78AC" w:rsidRPr="006E78AC" w:rsidRDefault="0092710A" w:rsidP="006E7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122</w:t>
            </w:r>
          </w:p>
        </w:tc>
      </w:tr>
    </w:tbl>
    <w:p w14:paraId="0402D88F" w14:textId="77777777" w:rsidR="00593B2A" w:rsidRDefault="00593B2A" w:rsidP="00593B2A"/>
    <w:p w14:paraId="7C3A985F" w14:textId="77777777" w:rsidR="007C473E" w:rsidRDefault="0092710A" w:rsidP="007C473E">
      <w:pPr>
        <w:jc w:val="both"/>
      </w:pPr>
      <w:r>
        <w:t xml:space="preserve">Es preciso anotar que todas las actividades que desarrolla el Instituto Distrital de </w:t>
      </w:r>
      <w:r w:rsidR="007C473E">
        <w:t>Recreación</w:t>
      </w:r>
      <w:r>
        <w:t xml:space="preserve"> y Deporte – IDRD-  son transversales, es decir, busca que con cada actividad se integre a la mayor cantidad posible de grupos poblacionales habitantes en </w:t>
      </w:r>
      <w:r w:rsidR="007C473E">
        <w:t>Bogotá</w:t>
      </w:r>
      <w:r>
        <w:t xml:space="preserve"> </w:t>
      </w:r>
      <w:r w:rsidR="007C473E" w:rsidRPr="00103925">
        <w:t>(Grupos Étnicos y LGBTI (lesbianas, gay, bisexuales, transgénero o intersexuales), Persona Mayor, Discapacidad, Infancia y Adolescencia.)</w:t>
      </w:r>
      <w:r w:rsidR="007C473E">
        <w:t>, comunidad educativa, padres de familia, deportistas, entrenadores del registro de Bogotá, proponentes, medios de comunicación, funcionarios y contratistas del IDRD, usuarios de servicios, entre otros.</w:t>
      </w:r>
    </w:p>
    <w:p w14:paraId="6EF47E14" w14:textId="77777777" w:rsidR="00593B2A" w:rsidRDefault="007C473E" w:rsidP="00593B2A">
      <w:pPr>
        <w:jc w:val="both"/>
      </w:pPr>
      <w:r>
        <w:t>Según el cuadro anterior quedó evidenciado, có</w:t>
      </w:r>
      <w:r w:rsidR="00593B2A">
        <w:t>mo resultado de la ejecución del Plan de P</w:t>
      </w:r>
      <w:r w:rsidR="0092710A">
        <w:t>articipación de la vigencia 2020</w:t>
      </w:r>
      <w:r>
        <w:t xml:space="preserve">, que </w:t>
      </w:r>
      <w:r w:rsidR="00593B2A">
        <w:t xml:space="preserve">se </w:t>
      </w:r>
      <w:r w:rsidR="00866303">
        <w:t>generaron</w:t>
      </w:r>
      <w:r w:rsidR="0092710A">
        <w:t xml:space="preserve"> 433</w:t>
      </w:r>
      <w:r w:rsidR="00593B2A">
        <w:t xml:space="preserve"> </w:t>
      </w:r>
      <w:r w:rsidR="00866303">
        <w:t>espacio</w:t>
      </w:r>
      <w:r>
        <w:t>s de participación, 81 más que el año anteriormente anterior (352 en el 2019).</w:t>
      </w:r>
    </w:p>
    <w:p w14:paraId="3495B1FD" w14:textId="77777777" w:rsidR="00675E43" w:rsidRDefault="00103925" w:rsidP="00103925">
      <w:pPr>
        <w:jc w:val="both"/>
      </w:pPr>
      <w:r>
        <w:t>La participación se realizó en todas las f</w:t>
      </w:r>
      <w:r w:rsidR="00675E43">
        <w:t>ases del ciclo</w:t>
      </w:r>
      <w:r>
        <w:t xml:space="preserve"> de la gestión como son: Diagnóstico, formulación participativa, ejecución e implementación participativa, evaluación y control social.  </w:t>
      </w:r>
    </w:p>
    <w:p w14:paraId="6DD9FFF6" w14:textId="77777777" w:rsidR="007C473E" w:rsidRDefault="00605F71" w:rsidP="00001B33">
      <w:pPr>
        <w:jc w:val="both"/>
      </w:pPr>
      <w:r>
        <w:lastRenderedPageBreak/>
        <w:t>L</w:t>
      </w:r>
      <w:r w:rsidR="00675E43">
        <w:t>os</w:t>
      </w:r>
      <w:r>
        <w:t xml:space="preserve"> principales resultados</w:t>
      </w:r>
      <w:r w:rsidR="00675E43">
        <w:t xml:space="preserve"> de la incidencia de la participación</w:t>
      </w:r>
      <w:r w:rsidR="00CA140E">
        <w:t xml:space="preserve"> ciudadana</w:t>
      </w:r>
      <w:r>
        <w:t>, se concretan en: El fortalecimiento de las relaciones IDRD – ciudadanía,</w:t>
      </w:r>
      <w:r w:rsidR="00CA140E">
        <w:t xml:space="preserve"> así como la apropiación y sentido de pertenencia de la comunidad para el uso adecuado de los parques y escenarios contribuyendo a la sostenibilidad de los mismos, permitió </w:t>
      </w:r>
      <w:r w:rsidR="00001B33">
        <w:t>clarificar los alcances de la intervención de la entidad generando confianza en la institucionalidad</w:t>
      </w:r>
      <w:r w:rsidR="00CA140E">
        <w:t>,</w:t>
      </w:r>
      <w:r w:rsidR="00001B33">
        <w:t xml:space="preserve"> </w:t>
      </w:r>
      <w:r w:rsidR="00CA140E">
        <w:t xml:space="preserve">mejorar aspectos relacionados con la </w:t>
      </w:r>
      <w:r w:rsidR="00001B33">
        <w:t>p</w:t>
      </w:r>
      <w:r>
        <w:t>romoción de la recreación y deporte, retroalimentación constante de la comunidad en cuanto al proceso de obra</w:t>
      </w:r>
      <w:r w:rsidR="00CA140E">
        <w:t xml:space="preserve"> </w:t>
      </w:r>
      <w:r>
        <w:t xml:space="preserve">y generar alertas tempranas en los temas que puedan impactar la comunidad o en la zona por la obra, </w:t>
      </w:r>
      <w:r w:rsidR="00001B33">
        <w:t>s</w:t>
      </w:r>
      <w:r>
        <w:t xml:space="preserve">e amplió la participación de comunidad, </w:t>
      </w:r>
      <w:r w:rsidR="00001B33">
        <w:t>m</w:t>
      </w:r>
      <w:r>
        <w:t>ayor organización y democratización  en el uso de los parques.</w:t>
      </w:r>
      <w:r w:rsidR="00001B33">
        <w:t xml:space="preserve"> </w:t>
      </w:r>
      <w:r>
        <w:t>dar continuidad a procesos</w:t>
      </w:r>
      <w:r w:rsidR="00001B33">
        <w:t xml:space="preserve"> de participación comunitaria, </w:t>
      </w:r>
      <w:r>
        <w:t>participación efectiva de los grupos poblacionales</w:t>
      </w:r>
      <w:r w:rsidR="00001B33">
        <w:t xml:space="preserve"> e i</w:t>
      </w:r>
      <w:r>
        <w:t>dentificación de necesidades e intereses de la comunidad</w:t>
      </w:r>
      <w:r w:rsidR="00001B33">
        <w:t xml:space="preserve">. </w:t>
      </w:r>
    </w:p>
    <w:p w14:paraId="5F3D8464" w14:textId="77777777" w:rsidR="00001B33" w:rsidRDefault="00001B33" w:rsidP="00001B33">
      <w:pPr>
        <w:jc w:val="both"/>
      </w:pPr>
      <w:r>
        <w:t>Lo anterior, cualifica los procesos y servicios ofrecidos por el IDRD y genera insumos para la planificación del Instituto orientada a cumplir con las necesidades y expectativas de los diversos grupos de interés y valor.</w:t>
      </w:r>
    </w:p>
    <w:p w14:paraId="560CCC44" w14:textId="77777777" w:rsidR="00CA140E" w:rsidRDefault="00CA140E" w:rsidP="00001B33">
      <w:pPr>
        <w:jc w:val="both"/>
      </w:pPr>
      <w:r>
        <w:t>El detalle de las actividades</w:t>
      </w:r>
      <w:r w:rsidR="002E255F">
        <w:t xml:space="preserve"> realizadas por los procesos, en desarrollo del Plan de Parti</w:t>
      </w:r>
      <w:r w:rsidR="007C473E">
        <w:t xml:space="preserve">cipación Ciudadana vigencia </w:t>
      </w:r>
      <w:proofErr w:type="gramStart"/>
      <w:r w:rsidR="007C473E">
        <w:t>2020</w:t>
      </w:r>
      <w:r w:rsidR="002E255F">
        <w:t xml:space="preserve">, </w:t>
      </w:r>
      <w:r>
        <w:t xml:space="preserve"> se</w:t>
      </w:r>
      <w:proofErr w:type="gramEnd"/>
      <w:r>
        <w:t xml:space="preserve"> encuentra </w:t>
      </w:r>
      <w:r w:rsidR="002E255F">
        <w:t xml:space="preserve">publicado </w:t>
      </w:r>
      <w:r>
        <w:t xml:space="preserve"> </w:t>
      </w:r>
      <w:r w:rsidR="002E255F">
        <w:t xml:space="preserve">en la siguiente ruta </w:t>
      </w:r>
      <w:hyperlink r:id="rId9" w:history="1">
        <w:r w:rsidR="00673750" w:rsidRPr="00772957">
          <w:rPr>
            <w:rStyle w:val="Hipervnculo"/>
          </w:rPr>
          <w:t>www.idrd.gov.co/transparencia/planeacion/participacion</w:t>
        </w:r>
      </w:hyperlink>
      <w:r w:rsidR="007C473E">
        <w:t>ciudadana/2020</w:t>
      </w:r>
      <w:r w:rsidR="002D7907">
        <w:t>.</w:t>
      </w:r>
    </w:p>
    <w:p w14:paraId="440521AC" w14:textId="77777777" w:rsidR="00605F71" w:rsidRDefault="00605F71" w:rsidP="00001B33">
      <w:pPr>
        <w:jc w:val="both"/>
      </w:pPr>
    </w:p>
    <w:p w14:paraId="13E99C94" w14:textId="77777777" w:rsidR="00605F71" w:rsidRDefault="00131E7E" w:rsidP="00001B33">
      <w:pPr>
        <w:jc w:val="both"/>
      </w:pPr>
      <w:r>
        <w:tab/>
      </w:r>
    </w:p>
    <w:sectPr w:rsidR="00605F71" w:rsidSect="006E78AC">
      <w:pgSz w:w="12240" w:h="15840"/>
      <w:pgMar w:top="141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BD36" w14:textId="77777777" w:rsidR="00186504" w:rsidRDefault="00186504" w:rsidP="001711E0">
      <w:pPr>
        <w:spacing w:after="0" w:line="240" w:lineRule="auto"/>
      </w:pPr>
      <w:r>
        <w:separator/>
      </w:r>
    </w:p>
  </w:endnote>
  <w:endnote w:type="continuationSeparator" w:id="0">
    <w:p w14:paraId="17F282F5" w14:textId="77777777" w:rsidR="00186504" w:rsidRDefault="00186504" w:rsidP="0017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7402" w14:textId="77777777" w:rsidR="00186504" w:rsidRDefault="00186504" w:rsidP="001711E0">
      <w:pPr>
        <w:spacing w:after="0" w:line="240" w:lineRule="auto"/>
      </w:pPr>
      <w:r>
        <w:separator/>
      </w:r>
    </w:p>
  </w:footnote>
  <w:footnote w:type="continuationSeparator" w:id="0">
    <w:p w14:paraId="1002FE55" w14:textId="77777777" w:rsidR="00186504" w:rsidRDefault="00186504" w:rsidP="001711E0">
      <w:pPr>
        <w:spacing w:after="0" w:line="240" w:lineRule="auto"/>
      </w:pPr>
      <w:r>
        <w:continuationSeparator/>
      </w:r>
    </w:p>
  </w:footnote>
  <w:footnote w:id="1">
    <w:p w14:paraId="1864022A" w14:textId="77777777" w:rsidR="001711E0" w:rsidRPr="001711E0" w:rsidRDefault="001711E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Articulo 3 Resolución 265 del 31 de agosto de 2020 emitido por la Directora General del Instituto Distrital de Recreación y Deporte – IDRD-.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D35"/>
    <w:multiLevelType w:val="hybridMultilevel"/>
    <w:tmpl w:val="FCB4363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441A"/>
    <w:multiLevelType w:val="multilevel"/>
    <w:tmpl w:val="EBEE9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 w15:restartNumberingAfterBreak="0">
    <w:nsid w:val="333B2959"/>
    <w:multiLevelType w:val="hybridMultilevel"/>
    <w:tmpl w:val="CC00CF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549DA"/>
    <w:multiLevelType w:val="hybridMultilevel"/>
    <w:tmpl w:val="1E006E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F84"/>
    <w:multiLevelType w:val="hybridMultilevel"/>
    <w:tmpl w:val="C4DE0A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8700A"/>
    <w:multiLevelType w:val="hybridMultilevel"/>
    <w:tmpl w:val="D3B0B4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0430"/>
    <w:multiLevelType w:val="hybridMultilevel"/>
    <w:tmpl w:val="90A4716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22728"/>
    <w:multiLevelType w:val="multilevel"/>
    <w:tmpl w:val="EBEE9B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8" w15:restartNumberingAfterBreak="0">
    <w:nsid w:val="7AD044C7"/>
    <w:multiLevelType w:val="hybridMultilevel"/>
    <w:tmpl w:val="00F2BF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7E"/>
    <w:rsid w:val="00001B33"/>
    <w:rsid w:val="00103925"/>
    <w:rsid w:val="00131E7E"/>
    <w:rsid w:val="00133FF3"/>
    <w:rsid w:val="001569CF"/>
    <w:rsid w:val="001711E0"/>
    <w:rsid w:val="00186504"/>
    <w:rsid w:val="002350A3"/>
    <w:rsid w:val="002C58C8"/>
    <w:rsid w:val="002D7907"/>
    <w:rsid w:val="002E255F"/>
    <w:rsid w:val="00386893"/>
    <w:rsid w:val="003A1B51"/>
    <w:rsid w:val="00440DA2"/>
    <w:rsid w:val="00456B41"/>
    <w:rsid w:val="004D3CB3"/>
    <w:rsid w:val="00546A67"/>
    <w:rsid w:val="00593B2A"/>
    <w:rsid w:val="00605F71"/>
    <w:rsid w:val="00644388"/>
    <w:rsid w:val="006674F8"/>
    <w:rsid w:val="00673750"/>
    <w:rsid w:val="00675E43"/>
    <w:rsid w:val="00695EFD"/>
    <w:rsid w:val="006E78AC"/>
    <w:rsid w:val="00713FF4"/>
    <w:rsid w:val="007C473E"/>
    <w:rsid w:val="00805F15"/>
    <w:rsid w:val="00866303"/>
    <w:rsid w:val="0092710A"/>
    <w:rsid w:val="009B4043"/>
    <w:rsid w:val="00AA69B0"/>
    <w:rsid w:val="00B07F68"/>
    <w:rsid w:val="00B62056"/>
    <w:rsid w:val="00BB20A4"/>
    <w:rsid w:val="00BD17D4"/>
    <w:rsid w:val="00CA140E"/>
    <w:rsid w:val="00D0098D"/>
    <w:rsid w:val="00DB7F25"/>
    <w:rsid w:val="00EF5398"/>
    <w:rsid w:val="00F56391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4BE"/>
  <w15:chartTrackingRefBased/>
  <w15:docId w15:val="{76E2A4C8-CE35-49C8-8D19-BE81E2B8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388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6B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737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75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1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11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1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d.gov.co/transparencia/planeacion/particip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45E1-AA95-4DEE-A43F-C1830392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MARTINEZ</dc:creator>
  <cp:keywords/>
  <dc:description/>
  <cp:lastModifiedBy>Federico castillo</cp:lastModifiedBy>
  <cp:revision>2</cp:revision>
  <dcterms:created xsi:type="dcterms:W3CDTF">2021-05-12T18:20:00Z</dcterms:created>
  <dcterms:modified xsi:type="dcterms:W3CDTF">2021-05-12T18:20:00Z</dcterms:modified>
</cp:coreProperties>
</file>