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9A" w:rsidRDefault="0081729A" w:rsidP="00523634">
      <w:pPr>
        <w:jc w:val="center"/>
        <w:rPr>
          <w:b/>
          <w:bCs/>
        </w:rPr>
      </w:pPr>
    </w:p>
    <w:p w:rsidR="00950F81" w:rsidRPr="0098117F" w:rsidRDefault="00950F81" w:rsidP="00523634">
      <w:pPr>
        <w:jc w:val="center"/>
        <w:rPr>
          <w:b/>
          <w:bCs/>
        </w:rPr>
      </w:pPr>
      <w:r w:rsidRPr="0098117F">
        <w:rPr>
          <w:b/>
          <w:bCs/>
        </w:rPr>
        <w:t xml:space="preserve">ADMINISTRACIÓN DE RIESGOS </w:t>
      </w:r>
      <w:r w:rsidR="00BD4A0E" w:rsidRPr="0098117F">
        <w:rPr>
          <w:b/>
          <w:bCs/>
        </w:rPr>
        <w:t xml:space="preserve">DE </w:t>
      </w:r>
      <w:proofErr w:type="gramStart"/>
      <w:r w:rsidR="00693203" w:rsidRPr="0098117F">
        <w:rPr>
          <w:b/>
          <w:bCs/>
        </w:rPr>
        <w:t>GESTIÓN</w:t>
      </w:r>
      <w:r w:rsidR="00BD4A0E" w:rsidRPr="0098117F">
        <w:rPr>
          <w:b/>
          <w:bCs/>
        </w:rPr>
        <w:t xml:space="preserve"> </w:t>
      </w:r>
      <w:r w:rsidR="00FA0CA8">
        <w:rPr>
          <w:b/>
          <w:bCs/>
        </w:rPr>
        <w:t>,</w:t>
      </w:r>
      <w:proofErr w:type="gramEnd"/>
      <w:r w:rsidR="00FA0CA8">
        <w:rPr>
          <w:b/>
          <w:bCs/>
        </w:rPr>
        <w:t xml:space="preserve"> FISCALES </w:t>
      </w:r>
      <w:r w:rsidR="00DF4771">
        <w:rPr>
          <w:b/>
          <w:bCs/>
        </w:rPr>
        <w:t xml:space="preserve">Y DE CORRUPCIÓN </w:t>
      </w:r>
      <w:r w:rsidRPr="0098117F">
        <w:rPr>
          <w:b/>
          <w:bCs/>
        </w:rPr>
        <w:t>EN EL I</w:t>
      </w:r>
      <w:r w:rsidR="00F76799" w:rsidRPr="0098117F">
        <w:rPr>
          <w:b/>
          <w:bCs/>
        </w:rPr>
        <w:t>NSTITUTO DISTRITAL DE RECREACIÓN Y DEPORTE</w:t>
      </w:r>
    </w:p>
    <w:p w:rsidR="00523634" w:rsidRPr="0098117F" w:rsidRDefault="00523634" w:rsidP="00523634">
      <w:pPr>
        <w:jc w:val="center"/>
        <w:rPr>
          <w:b/>
          <w:bCs/>
        </w:rPr>
      </w:pPr>
      <w:r w:rsidRPr="0098117F">
        <w:rPr>
          <w:b/>
          <w:bCs/>
        </w:rPr>
        <w:t>SEGUNDA LÍNEA DE DEFENSA</w:t>
      </w:r>
    </w:p>
    <w:p w:rsidR="006A64B8" w:rsidRPr="0098117F" w:rsidRDefault="00902716" w:rsidP="00523634">
      <w:pPr>
        <w:jc w:val="center"/>
        <w:rPr>
          <w:b/>
          <w:bCs/>
        </w:rPr>
      </w:pPr>
      <w:r>
        <w:rPr>
          <w:b/>
          <w:bCs/>
        </w:rPr>
        <w:t xml:space="preserve">SEGUNDO </w:t>
      </w:r>
      <w:r w:rsidR="006A64B8" w:rsidRPr="0098117F">
        <w:rPr>
          <w:b/>
          <w:bCs/>
        </w:rPr>
        <w:t>TRIMESTRE</w:t>
      </w:r>
      <w:r w:rsidR="00D803BD">
        <w:rPr>
          <w:b/>
          <w:bCs/>
        </w:rPr>
        <w:t xml:space="preserve"> DE 2025</w:t>
      </w:r>
    </w:p>
    <w:p w:rsidR="00523634" w:rsidRPr="0098117F" w:rsidRDefault="00523634" w:rsidP="00523634">
      <w:pPr>
        <w:pStyle w:val="Prrafodelista"/>
        <w:numPr>
          <w:ilvl w:val="0"/>
          <w:numId w:val="1"/>
        </w:numPr>
        <w:rPr>
          <w:b/>
          <w:bCs/>
        </w:rPr>
      </w:pPr>
      <w:r w:rsidRPr="0098117F">
        <w:rPr>
          <w:b/>
          <w:bCs/>
        </w:rPr>
        <w:t xml:space="preserve">Introducción </w:t>
      </w:r>
    </w:p>
    <w:p w:rsidR="00B63BCF" w:rsidRPr="0098117F" w:rsidRDefault="00523634" w:rsidP="00523634">
      <w:pPr>
        <w:jc w:val="both"/>
      </w:pPr>
      <w:r w:rsidRPr="0098117F">
        <w:t xml:space="preserve">En el marco de la Política de Administración de Riesgos en el Instituto Distrital de Recreación y Deporte, versión </w:t>
      </w:r>
      <w:r w:rsidR="006A64B8" w:rsidRPr="0098117F">
        <w:t>7</w:t>
      </w:r>
      <w:r w:rsidRPr="0098117F">
        <w:t xml:space="preserve"> de</w:t>
      </w:r>
      <w:r w:rsidR="00022416" w:rsidRPr="0098117F">
        <w:t xml:space="preserve"> </w:t>
      </w:r>
      <w:r w:rsidR="006A64B8" w:rsidRPr="0098117F">
        <w:t xml:space="preserve">junio </w:t>
      </w:r>
      <w:r w:rsidRPr="0098117F">
        <w:t>de 202</w:t>
      </w:r>
      <w:r w:rsidR="006A64B8" w:rsidRPr="0098117F">
        <w:t>4</w:t>
      </w:r>
      <w:r w:rsidRPr="0098117F">
        <w:t xml:space="preserve">, </w:t>
      </w:r>
      <w:r w:rsidR="003255D5" w:rsidRPr="0098117F">
        <w:t xml:space="preserve">la Oficina Asesora de Planeación, </w:t>
      </w:r>
      <w:r w:rsidR="00715426" w:rsidRPr="0098117F">
        <w:t xml:space="preserve">en su rol de segunda línea de defensa, </w:t>
      </w:r>
      <w:r w:rsidR="005D7202" w:rsidRPr="0098117F">
        <w:t xml:space="preserve">debe realizar monitoreo a los controles, planes de acción e indicadores de los riesgos </w:t>
      </w:r>
      <w:r w:rsidR="00BD4A0E" w:rsidRPr="0098117F">
        <w:t xml:space="preserve">de </w:t>
      </w:r>
      <w:r w:rsidR="00693203" w:rsidRPr="0098117F">
        <w:t>gestión</w:t>
      </w:r>
      <w:r w:rsidR="00BD4A0E" w:rsidRPr="0098117F">
        <w:t xml:space="preserve"> </w:t>
      </w:r>
      <w:r w:rsidR="005D7202" w:rsidRPr="0098117F">
        <w:t xml:space="preserve">de los procesos, </w:t>
      </w:r>
      <w:r w:rsidR="00DE4798" w:rsidRPr="0098117F">
        <w:t xml:space="preserve">a fin de conocer los resultados </w:t>
      </w:r>
      <w:r w:rsidR="00E93B08" w:rsidRPr="0098117F">
        <w:t>alcanzados en el período</w:t>
      </w:r>
      <w:r w:rsidR="007D30E7" w:rsidRPr="0098117F">
        <w:t xml:space="preserve">, </w:t>
      </w:r>
      <w:r w:rsidR="00E93B08" w:rsidRPr="0098117F">
        <w:t>concluir si se</w:t>
      </w:r>
      <w:r w:rsidR="003C4035" w:rsidRPr="0098117F">
        <w:t xml:space="preserve"> han</w:t>
      </w:r>
      <w:r w:rsidR="00E93B08" w:rsidRPr="0098117F">
        <w:t xml:space="preserve"> </w:t>
      </w:r>
      <w:r w:rsidR="00B63BCF" w:rsidRPr="0098117F">
        <w:t>implementado conforme a lo establecido</w:t>
      </w:r>
      <w:r w:rsidR="007D30E7" w:rsidRPr="0098117F">
        <w:t xml:space="preserve"> y </w:t>
      </w:r>
      <w:r w:rsidR="00232A60" w:rsidRPr="0098117F">
        <w:t>determinar</w:t>
      </w:r>
      <w:r w:rsidR="007D30E7" w:rsidRPr="0098117F">
        <w:t xml:space="preserve"> oportun</w:t>
      </w:r>
      <w:r w:rsidR="00C10A52" w:rsidRPr="0098117F">
        <w:t xml:space="preserve">idades de mejora. </w:t>
      </w:r>
    </w:p>
    <w:p w:rsidR="00523634" w:rsidRPr="0098117F" w:rsidRDefault="00C77BD6" w:rsidP="00523634">
      <w:pPr>
        <w:jc w:val="both"/>
      </w:pPr>
      <w:r w:rsidRPr="0098117F">
        <w:t xml:space="preserve">Este monitoreo </w:t>
      </w:r>
      <w:r w:rsidR="00881A1D" w:rsidRPr="0098117F">
        <w:t xml:space="preserve">se realiza </w:t>
      </w:r>
      <w:r w:rsidRPr="0098117F">
        <w:t xml:space="preserve">en las siguientes </w:t>
      </w:r>
      <w:r w:rsidR="00881A1D" w:rsidRPr="0098117F">
        <w:t>periodicidades</w:t>
      </w:r>
      <w:r w:rsidR="003C4035" w:rsidRPr="0098117F">
        <w:t>,</w:t>
      </w:r>
      <w:r w:rsidR="00881A1D" w:rsidRPr="0098117F">
        <w:t xml:space="preserve"> c</w:t>
      </w:r>
      <w:r w:rsidR="00761144" w:rsidRPr="0098117F">
        <w:t xml:space="preserve">uyos </w:t>
      </w:r>
      <w:r w:rsidR="00881A1D" w:rsidRPr="0098117F">
        <w:t>objetivos particulares</w:t>
      </w:r>
      <w:r w:rsidRPr="0098117F">
        <w:t>, son:</w:t>
      </w:r>
    </w:p>
    <w:p w:rsidR="0029463E" w:rsidRPr="0098117F" w:rsidRDefault="0029463E" w:rsidP="0029463E">
      <w:pPr>
        <w:pStyle w:val="Textoindependiente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:rsidR="0029463E" w:rsidRPr="0098117F" w:rsidRDefault="0029463E" w:rsidP="0029463E">
      <w:pPr>
        <w:pStyle w:val="Prrafodelista"/>
        <w:widowControl w:val="0"/>
        <w:numPr>
          <w:ilvl w:val="2"/>
          <w:numId w:val="8"/>
        </w:numPr>
        <w:tabs>
          <w:tab w:val="left" w:pos="996"/>
        </w:tabs>
        <w:autoSpaceDE w:val="0"/>
        <w:autoSpaceDN w:val="0"/>
        <w:spacing w:after="0" w:line="240" w:lineRule="auto"/>
        <w:ind w:left="996" w:hanging="356"/>
        <w:contextualSpacing w:val="0"/>
      </w:pPr>
      <w:r w:rsidRPr="0098117F">
        <w:rPr>
          <w:b/>
          <w:bCs/>
        </w:rPr>
        <w:t>Mensualmente</w:t>
      </w:r>
      <w:r w:rsidRPr="0098117F">
        <w:t xml:space="preserve"> a través de la consulta en la plataforma ISOLUCION:</w:t>
      </w:r>
    </w:p>
    <w:p w:rsidR="0029463E" w:rsidRPr="0098117F" w:rsidRDefault="0029463E" w:rsidP="0029463E">
      <w:pPr>
        <w:pStyle w:val="Textoindependiente"/>
        <w:spacing w:before="3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:rsidR="0029463E" w:rsidRPr="0098117F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50"/>
        <w:contextualSpacing w:val="0"/>
        <w:jc w:val="both"/>
      </w:pPr>
      <w:r w:rsidRPr="0098117F">
        <w:t>Verificación de la implementación de las actividades establecidas en los planes de acción (matrices de riesgos) en las fechas establecidas.</w:t>
      </w:r>
    </w:p>
    <w:p w:rsidR="0029463E" w:rsidRPr="0098117F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t>Cargue adecuado, completo y coherente de las evidencias de acuerdo con la información establecida en los planes de acción.</w:t>
      </w:r>
    </w:p>
    <w:p w:rsidR="003470FA" w:rsidRPr="0098117F" w:rsidRDefault="0029463E" w:rsidP="003470FA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t>Verificación de la información de mediciones de los indicadores y revisión de resultados para evaluar si el riesgo se ha materializado. Si el indicador se incumple se procede a generar la respectiva acción correctiva.</w:t>
      </w:r>
    </w:p>
    <w:p w:rsidR="009765A3" w:rsidRPr="0098117F" w:rsidRDefault="003470FA" w:rsidP="003470FA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rPr>
          <w:rFonts w:ascii="Calibri" w:hAnsi="Calibri" w:cs="Calibri"/>
          <w:shd w:val="clear" w:color="auto" w:fill="F3F3F3"/>
        </w:rPr>
        <w:t>Revisión de</w:t>
      </w:r>
      <w:r w:rsidR="009765A3" w:rsidRPr="0098117F">
        <w:rPr>
          <w:rFonts w:ascii="Calibri" w:hAnsi="Calibri" w:cs="Calibri"/>
          <w:shd w:val="clear" w:color="auto" w:fill="F3F3F3"/>
        </w:rPr>
        <w:t xml:space="preserve"> las evidencias y la coherencia con los indicadores formulados</w:t>
      </w:r>
    </w:p>
    <w:p w:rsidR="009765A3" w:rsidRPr="0098117F" w:rsidRDefault="009765A3" w:rsidP="009765A3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479" w:right="944"/>
        <w:contextualSpacing w:val="0"/>
      </w:pPr>
    </w:p>
    <w:p w:rsidR="0029463E" w:rsidRPr="0098117F" w:rsidRDefault="0029463E" w:rsidP="0029463E">
      <w:pPr>
        <w:pStyle w:val="Prrafodelista"/>
        <w:widowControl w:val="0"/>
        <w:tabs>
          <w:tab w:val="left" w:pos="997"/>
        </w:tabs>
        <w:autoSpaceDE w:val="0"/>
        <w:autoSpaceDN w:val="0"/>
        <w:spacing w:after="0" w:line="240" w:lineRule="auto"/>
        <w:ind w:left="997"/>
        <w:contextualSpacing w:val="0"/>
      </w:pPr>
    </w:p>
    <w:p w:rsidR="0029463E" w:rsidRPr="0098117F" w:rsidRDefault="0029463E" w:rsidP="0029463E">
      <w:pPr>
        <w:pStyle w:val="Prrafodelista"/>
        <w:widowControl w:val="0"/>
        <w:numPr>
          <w:ilvl w:val="2"/>
          <w:numId w:val="8"/>
        </w:numPr>
        <w:tabs>
          <w:tab w:val="left" w:pos="997"/>
        </w:tabs>
        <w:autoSpaceDE w:val="0"/>
        <w:autoSpaceDN w:val="0"/>
        <w:spacing w:after="0" w:line="240" w:lineRule="auto"/>
        <w:ind w:left="997" w:hanging="357"/>
        <w:contextualSpacing w:val="0"/>
      </w:pPr>
      <w:r w:rsidRPr="0098117F">
        <w:rPr>
          <w:b/>
          <w:bCs/>
        </w:rPr>
        <w:t>Trimestralmente</w:t>
      </w:r>
      <w:r w:rsidRPr="0098117F">
        <w:t xml:space="preserve"> a través de revisiones presenciales o virtuales con los procesos:</w:t>
      </w:r>
    </w:p>
    <w:p w:rsidR="0029463E" w:rsidRPr="0098117F" w:rsidRDefault="0029463E" w:rsidP="0029463E">
      <w:pPr>
        <w:pStyle w:val="Textoindependiente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:rsidR="0029463E" w:rsidRPr="0098117F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36"/>
        <w:contextualSpacing w:val="0"/>
        <w:jc w:val="both"/>
      </w:pPr>
      <w:r w:rsidRPr="0098117F">
        <w:t>Seguimiento a la ejecución y eficacia de los controles mediante la verificación de las evidencias establecidas en los mapas de riesgos y el cumplimiento del propósito para el cual fueron creadas.</w:t>
      </w:r>
    </w:p>
    <w:p w:rsidR="00CA45E3" w:rsidRPr="0098117F" w:rsidRDefault="0029463E" w:rsidP="00CA45E3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t>Evaluación de la necesidad de ajustar las matrices como resultado de la implementación de controles, planes de acción y análisis de indicadores de riesgos.</w:t>
      </w:r>
    </w:p>
    <w:p w:rsidR="00CA45E3" w:rsidRPr="00FA0CA8" w:rsidRDefault="001609DE" w:rsidP="00CA45E3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FA0CA8">
        <w:t>R</w:t>
      </w:r>
      <w:r w:rsidR="00CA45E3" w:rsidRPr="00FA0CA8">
        <w:t>evis</w:t>
      </w:r>
      <w:r w:rsidRPr="00FA0CA8">
        <w:t xml:space="preserve">ión de </w:t>
      </w:r>
      <w:r w:rsidR="00EA66D6" w:rsidRPr="00FA0CA8">
        <w:t xml:space="preserve">las acciones tomadas de las </w:t>
      </w:r>
      <w:r w:rsidR="00CA45E3" w:rsidRPr="00FA0CA8">
        <w:t xml:space="preserve">observaciones </w:t>
      </w:r>
      <w:r w:rsidR="00EA66D6" w:rsidRPr="00FA0CA8">
        <w:t>generadas</w:t>
      </w:r>
      <w:r w:rsidR="00CA45E3" w:rsidRPr="00FA0CA8">
        <w:t xml:space="preserve"> </w:t>
      </w:r>
      <w:r w:rsidR="00EA66D6" w:rsidRPr="00FA0CA8">
        <w:t xml:space="preserve">en el monitoreo anterior. </w:t>
      </w:r>
    </w:p>
    <w:p w:rsidR="00CA45E3" w:rsidRPr="0098117F" w:rsidRDefault="00CA45E3" w:rsidP="00EA66D6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1396" w:right="944"/>
        <w:contextualSpacing w:val="0"/>
      </w:pPr>
    </w:p>
    <w:p w:rsidR="0029463E" w:rsidRPr="0098117F" w:rsidRDefault="0029463E" w:rsidP="0029463E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1396" w:right="944"/>
        <w:contextualSpacing w:val="0"/>
        <w:jc w:val="right"/>
      </w:pPr>
    </w:p>
    <w:p w:rsidR="00C56870" w:rsidRPr="0098117F" w:rsidRDefault="00C56870" w:rsidP="00C56870">
      <w:pPr>
        <w:jc w:val="both"/>
      </w:pPr>
      <w:r w:rsidRPr="0098117F">
        <w:t xml:space="preserve">Este informe </w:t>
      </w:r>
      <w:r w:rsidR="00E60D76" w:rsidRPr="0098117F">
        <w:t xml:space="preserve">presenta los resultados de la verificación trimestral </w:t>
      </w:r>
      <w:r w:rsidR="006A6349" w:rsidRPr="0098117F">
        <w:t xml:space="preserve">que se realizaron a los controles </w:t>
      </w:r>
      <w:r w:rsidR="00762B4A" w:rsidRPr="0098117F">
        <w:t xml:space="preserve">de cada uno de los </w:t>
      </w:r>
      <w:r w:rsidR="00604DF9" w:rsidRPr="0098117F">
        <w:t>riesgos de</w:t>
      </w:r>
      <w:r w:rsidR="00CD2529" w:rsidRPr="0098117F">
        <w:t xml:space="preserve"> </w:t>
      </w:r>
      <w:r w:rsidR="00832729">
        <w:t xml:space="preserve">gestión y de </w:t>
      </w:r>
      <w:r w:rsidR="00CD2529" w:rsidRPr="0098117F">
        <w:t>corrupción</w:t>
      </w:r>
      <w:r w:rsidR="00A33C6E" w:rsidRPr="0098117F">
        <w:t xml:space="preserve"> que</w:t>
      </w:r>
      <w:r w:rsidR="0089571B" w:rsidRPr="0098117F">
        <w:t xml:space="preserve"> hacen parte del sistema de gestión del IDRD. </w:t>
      </w:r>
      <w:r w:rsidR="00A72218" w:rsidRPr="0098117F">
        <w:t>Para ello se realizaron reuniones</w:t>
      </w:r>
      <w:r w:rsidR="006C5951" w:rsidRPr="0098117F">
        <w:t xml:space="preserve"> </w:t>
      </w:r>
      <w:r w:rsidR="00EA447B" w:rsidRPr="0098117F">
        <w:t xml:space="preserve">por parte de la Oficina Asesora de Planeación </w:t>
      </w:r>
      <w:r w:rsidR="006C5951" w:rsidRPr="0098117F">
        <w:t xml:space="preserve">con los profesionales </w:t>
      </w:r>
      <w:r w:rsidR="006C5951" w:rsidRPr="0098117F">
        <w:lastRenderedPageBreak/>
        <w:t xml:space="preserve">responsables </w:t>
      </w:r>
      <w:r w:rsidR="00832729">
        <w:t xml:space="preserve">de </w:t>
      </w:r>
      <w:r w:rsidR="00EA447B" w:rsidRPr="0098117F">
        <w:t xml:space="preserve">coordinar la gestión del riesgo en </w:t>
      </w:r>
      <w:r w:rsidR="00B11BA2" w:rsidRPr="0098117F">
        <w:t xml:space="preserve">cada uno de </w:t>
      </w:r>
      <w:r w:rsidR="00EA447B" w:rsidRPr="0098117F">
        <w:t>los procesos</w:t>
      </w:r>
      <w:r w:rsidR="003C6200" w:rsidRPr="0098117F">
        <w:t>,</w:t>
      </w:r>
      <w:r w:rsidR="00B11BA2" w:rsidRPr="0098117F">
        <w:t xml:space="preserve"> solicitando las evidencias que respaldan la implementación de los controles. </w:t>
      </w:r>
    </w:p>
    <w:p w:rsidR="004814A2" w:rsidRPr="0098117F" w:rsidRDefault="00D00C21" w:rsidP="004814A2">
      <w:pPr>
        <w:jc w:val="both"/>
      </w:pPr>
      <w:r w:rsidRPr="0098117F">
        <w:t>L</w:t>
      </w:r>
      <w:r w:rsidR="00CA0822" w:rsidRPr="0098117F">
        <w:t>a</w:t>
      </w:r>
      <w:r w:rsidR="00606C4F" w:rsidRPr="0098117F">
        <w:t xml:space="preserve">s </w:t>
      </w:r>
      <w:r w:rsidR="00CA0822" w:rsidRPr="0098117F">
        <w:t xml:space="preserve">conclusiones y </w:t>
      </w:r>
      <w:r w:rsidR="00957CDA" w:rsidRPr="0098117F">
        <w:t>decisione</w:t>
      </w:r>
      <w:r w:rsidR="00CA0822" w:rsidRPr="0098117F">
        <w:t xml:space="preserve">s resultantes </w:t>
      </w:r>
      <w:r w:rsidR="00606C4F" w:rsidRPr="0098117F">
        <w:t>d</w:t>
      </w:r>
      <w:r w:rsidR="007B02E0" w:rsidRPr="0098117F">
        <w:t xml:space="preserve">e </w:t>
      </w:r>
      <w:r w:rsidR="006E6309" w:rsidRPr="0098117F">
        <w:t>este monitoreo se</w:t>
      </w:r>
      <w:r w:rsidR="00E666B9" w:rsidRPr="0098117F">
        <w:t xml:space="preserve"> presentan </w:t>
      </w:r>
      <w:r w:rsidR="004814A2" w:rsidRPr="0098117F">
        <w:t xml:space="preserve">en: </w:t>
      </w:r>
    </w:p>
    <w:p w:rsidR="00957CDA" w:rsidRPr="0098117F" w:rsidRDefault="00E666B9" w:rsidP="00957CDA">
      <w:pPr>
        <w:pStyle w:val="Prrafodelista"/>
        <w:numPr>
          <w:ilvl w:val="0"/>
          <w:numId w:val="5"/>
        </w:numPr>
        <w:jc w:val="both"/>
      </w:pPr>
      <w:r w:rsidRPr="0098117F">
        <w:t>Matrices de riesgos de</w:t>
      </w:r>
      <w:r w:rsidR="00C6427E" w:rsidRPr="0098117F">
        <w:t xml:space="preserve"> cada proceso</w:t>
      </w:r>
      <w:r w:rsidR="00DF19A2" w:rsidRPr="0098117F">
        <w:t xml:space="preserve"> </w:t>
      </w:r>
      <w:r w:rsidR="00216456" w:rsidRPr="0098117F">
        <w:t>(l</w:t>
      </w:r>
      <w:r w:rsidR="00C6427E" w:rsidRPr="0098117F">
        <w:t>a</w:t>
      </w:r>
      <w:r w:rsidR="00216456" w:rsidRPr="0098117F">
        <w:t xml:space="preserve">s cuales hace parte de este </w:t>
      </w:r>
      <w:r w:rsidR="009424A7" w:rsidRPr="0098117F">
        <w:t>informe)</w:t>
      </w:r>
      <w:r w:rsidR="00C6427E" w:rsidRPr="0098117F">
        <w:t xml:space="preserve"> en las que se han dispuesto columnas para </w:t>
      </w:r>
      <w:r w:rsidR="00F36B14" w:rsidRPr="0098117F">
        <w:t>registrar el nombre la evidencia revisada</w:t>
      </w:r>
      <w:r w:rsidR="008751AF" w:rsidRPr="0098117F">
        <w:t>, el detalle de lo revisado, así como las conclusiones de</w:t>
      </w:r>
      <w:r w:rsidR="00191E48" w:rsidRPr="0098117F">
        <w:t xml:space="preserve"> la información revisada. </w:t>
      </w:r>
    </w:p>
    <w:p w:rsidR="00957CDA" w:rsidRPr="0098117F" w:rsidRDefault="00957CDA" w:rsidP="00957CDA">
      <w:pPr>
        <w:pStyle w:val="Prrafodelista"/>
        <w:jc w:val="both"/>
      </w:pPr>
    </w:p>
    <w:p w:rsidR="00191E48" w:rsidRPr="0098117F" w:rsidRDefault="004814A2" w:rsidP="00957CDA">
      <w:pPr>
        <w:pStyle w:val="Prrafodelista"/>
        <w:numPr>
          <w:ilvl w:val="0"/>
          <w:numId w:val="5"/>
        </w:numPr>
        <w:jc w:val="both"/>
      </w:pPr>
      <w:r w:rsidRPr="0098117F">
        <w:t xml:space="preserve">El presente documento en el cual se </w:t>
      </w:r>
      <w:r w:rsidR="005C1DF5" w:rsidRPr="0098117F">
        <w:t xml:space="preserve">establecen las conclusiones </w:t>
      </w:r>
      <w:r w:rsidR="000C5E91" w:rsidRPr="0098117F">
        <w:t>generale</w:t>
      </w:r>
      <w:r w:rsidR="005C1DF5" w:rsidRPr="0098117F">
        <w:t xml:space="preserve">s </w:t>
      </w:r>
      <w:r w:rsidR="000C5E91" w:rsidRPr="0098117F">
        <w:t xml:space="preserve">extraídas de un análisis transversal de comportamiento y situaciones </w:t>
      </w:r>
      <w:r w:rsidR="00345082" w:rsidRPr="0098117F">
        <w:t xml:space="preserve">vistas en todos los procesos. </w:t>
      </w:r>
    </w:p>
    <w:p w:rsidR="0086310F" w:rsidRPr="0098117F" w:rsidRDefault="00345082" w:rsidP="003C6200">
      <w:pPr>
        <w:jc w:val="both"/>
      </w:pPr>
      <w:r w:rsidRPr="0098117F">
        <w:t xml:space="preserve">Es importante aclarar </w:t>
      </w:r>
      <w:r w:rsidR="00E43472" w:rsidRPr="0098117F">
        <w:t xml:space="preserve">que </w:t>
      </w:r>
      <w:r w:rsidR="00566FF0" w:rsidRPr="0098117F">
        <w:t xml:space="preserve">los procesos deben tomar acciones de las </w:t>
      </w:r>
      <w:r w:rsidR="00F57294" w:rsidRPr="0098117F">
        <w:t>conc</w:t>
      </w:r>
      <w:r w:rsidR="0014590E" w:rsidRPr="0098117F">
        <w:t>l</w:t>
      </w:r>
      <w:r w:rsidR="00F57294" w:rsidRPr="0098117F">
        <w:t>usiones</w:t>
      </w:r>
      <w:r w:rsidR="00566FF0" w:rsidRPr="0098117F">
        <w:t xml:space="preserve"> </w:t>
      </w:r>
      <w:r w:rsidR="00591852" w:rsidRPr="0098117F">
        <w:t xml:space="preserve">y decisiones </w:t>
      </w:r>
      <w:r w:rsidR="00566FF0" w:rsidRPr="0098117F">
        <w:t>registradas</w:t>
      </w:r>
      <w:r w:rsidR="0014590E" w:rsidRPr="0098117F">
        <w:t>,</w:t>
      </w:r>
      <w:r w:rsidR="00566FF0" w:rsidRPr="0098117F">
        <w:t xml:space="preserve"> tanto en las matrices de riesgos</w:t>
      </w:r>
      <w:r w:rsidR="0014590E" w:rsidRPr="0098117F">
        <w:t>,</w:t>
      </w:r>
      <w:r w:rsidR="00566FF0" w:rsidRPr="0098117F">
        <w:t xml:space="preserve"> como e</w:t>
      </w:r>
      <w:r w:rsidR="001E46F5" w:rsidRPr="0098117F">
        <w:t>n las definidas en este informe</w:t>
      </w:r>
      <w:r w:rsidR="00591852" w:rsidRPr="0098117F">
        <w:t xml:space="preserve"> y comunicar</w:t>
      </w:r>
      <w:r w:rsidR="001E46F5" w:rsidRPr="0098117F">
        <w:t xml:space="preserve"> a la Oficina Asesora de P</w:t>
      </w:r>
      <w:r w:rsidR="00812DB5" w:rsidRPr="0098117F">
        <w:t>laneación</w:t>
      </w:r>
      <w:r w:rsidR="0014590E" w:rsidRPr="0098117F">
        <w:t xml:space="preserve"> sobre su </w:t>
      </w:r>
      <w:r w:rsidR="00CD2529" w:rsidRPr="0098117F">
        <w:t>implementación.</w:t>
      </w:r>
    </w:p>
    <w:p w:rsidR="003C6200" w:rsidRPr="0098117F" w:rsidRDefault="003F1CDE" w:rsidP="003C62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8117F">
        <w:rPr>
          <w:b/>
          <w:bCs/>
        </w:rPr>
        <w:t>Información del monitoreo</w:t>
      </w:r>
      <w:r w:rsidR="00331E40" w:rsidRPr="0098117F">
        <w:rPr>
          <w:b/>
          <w:bCs/>
        </w:rPr>
        <w:t>:</w:t>
      </w:r>
    </w:p>
    <w:p w:rsidR="00D15275" w:rsidRPr="0098117F" w:rsidRDefault="00D15275" w:rsidP="00D15275">
      <w:pPr>
        <w:pStyle w:val="Prrafodelista"/>
        <w:jc w:val="both"/>
        <w:rPr>
          <w:b/>
          <w:bCs/>
        </w:rPr>
      </w:pPr>
    </w:p>
    <w:p w:rsidR="00EB4435" w:rsidRPr="0098117F" w:rsidRDefault="00D15275" w:rsidP="00D15275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>Período evaluado:</w:t>
      </w:r>
      <w:r w:rsidRPr="0098117F">
        <w:t xml:space="preserve"> </w:t>
      </w:r>
      <w:r w:rsidR="00BC0D49" w:rsidRPr="0098117F">
        <w:t>correspondiente a</w:t>
      </w:r>
      <w:r w:rsidR="00EB4435" w:rsidRPr="0098117F">
        <w:t xml:space="preserve"> los meses de</w:t>
      </w:r>
      <w:r w:rsidR="00976D48">
        <w:t xml:space="preserve"> abril, mayo y junio </w:t>
      </w:r>
      <w:r w:rsidR="004D5AD3" w:rsidRPr="0098117F">
        <w:t>de</w:t>
      </w:r>
      <w:r w:rsidR="00EB4435" w:rsidRPr="0098117F">
        <w:t xml:space="preserve"> 202</w:t>
      </w:r>
      <w:r w:rsidR="00D803BD">
        <w:t>5</w:t>
      </w:r>
    </w:p>
    <w:p w:rsidR="00D15275" w:rsidRPr="00FA0CA8" w:rsidRDefault="00686199" w:rsidP="00E12A1E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>Número de procesos evaluados</w:t>
      </w:r>
      <w:r w:rsidRPr="00FA0CA8">
        <w:rPr>
          <w:b/>
          <w:bCs/>
        </w:rPr>
        <w:t>:</w:t>
      </w:r>
      <w:r w:rsidRPr="00FA0CA8">
        <w:t xml:space="preserve"> 1</w:t>
      </w:r>
      <w:r w:rsidR="00933E2D" w:rsidRPr="00FA0CA8">
        <w:t>6</w:t>
      </w:r>
      <w:r w:rsidR="00E85EC9" w:rsidRPr="00FA0CA8">
        <w:t xml:space="preserve"> </w:t>
      </w:r>
      <w:r w:rsidR="00D45AF3" w:rsidRPr="00FA0CA8">
        <w:t>procesos</w:t>
      </w:r>
      <w:r w:rsidR="00487601" w:rsidRPr="00FA0CA8">
        <w:t xml:space="preserve"> para riesgos de gestión/ 13 procesos para riesgos de corrupción</w:t>
      </w:r>
      <w:r w:rsidR="00C22D6B" w:rsidRPr="00FA0CA8">
        <w:t xml:space="preserve">/ </w:t>
      </w:r>
      <w:r w:rsidR="004C784F" w:rsidRPr="00FA0CA8">
        <w:t>6</w:t>
      </w:r>
      <w:r w:rsidR="00C22D6B" w:rsidRPr="00FA0CA8">
        <w:t xml:space="preserve"> </w:t>
      </w:r>
      <w:r w:rsidR="00120638" w:rsidRPr="00FA0CA8">
        <w:t xml:space="preserve">para los </w:t>
      </w:r>
      <w:r w:rsidR="00C22D6B" w:rsidRPr="00FA0CA8">
        <w:t>riesgo</w:t>
      </w:r>
      <w:r w:rsidR="00437345" w:rsidRPr="00FA0CA8">
        <w:t>s</w:t>
      </w:r>
      <w:r w:rsidR="00C22D6B" w:rsidRPr="00FA0CA8">
        <w:t xml:space="preserve"> fiscales</w:t>
      </w:r>
      <w:r w:rsidR="00804651" w:rsidRPr="00FA0CA8">
        <w:t>.</w:t>
      </w:r>
    </w:p>
    <w:p w:rsidR="00686199" w:rsidRPr="00C22D6B" w:rsidRDefault="00A24D25" w:rsidP="00D15275">
      <w:pPr>
        <w:pStyle w:val="Prrafodelista"/>
        <w:numPr>
          <w:ilvl w:val="1"/>
          <w:numId w:val="1"/>
        </w:numPr>
        <w:jc w:val="both"/>
      </w:pPr>
      <w:r w:rsidRPr="00FA0CA8">
        <w:rPr>
          <w:b/>
          <w:bCs/>
        </w:rPr>
        <w:t xml:space="preserve">Fecha de inicio/ fin del monitoreo: </w:t>
      </w:r>
      <w:r w:rsidR="00D803BD" w:rsidRPr="00FA0CA8">
        <w:t xml:space="preserve">1 a </w:t>
      </w:r>
      <w:r w:rsidR="00933E2D" w:rsidRPr="00FA0CA8">
        <w:t>15 julio</w:t>
      </w:r>
      <w:r w:rsidR="00933E2D">
        <w:t xml:space="preserve"> </w:t>
      </w:r>
      <w:r w:rsidR="00C22D6B" w:rsidRPr="00C22D6B">
        <w:t>de 202</w:t>
      </w:r>
      <w:r w:rsidR="00D803BD">
        <w:t>5</w:t>
      </w:r>
    </w:p>
    <w:p w:rsidR="000855C9" w:rsidRPr="0098117F" w:rsidRDefault="009B5858" w:rsidP="00D15275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>Me</w:t>
      </w:r>
      <w:r w:rsidR="003F1CDE" w:rsidRPr="0098117F">
        <w:rPr>
          <w:b/>
          <w:bCs/>
        </w:rPr>
        <w:t xml:space="preserve">todología: </w:t>
      </w:r>
    </w:p>
    <w:p w:rsidR="009A35B1" w:rsidRPr="0098117F" w:rsidRDefault="009A35B1" w:rsidP="009A35B1">
      <w:pPr>
        <w:pStyle w:val="Prrafodelista"/>
        <w:numPr>
          <w:ilvl w:val="0"/>
          <w:numId w:val="3"/>
        </w:numPr>
        <w:jc w:val="both"/>
      </w:pPr>
      <w:r w:rsidRPr="0098117F">
        <w:t>Modalidad</w:t>
      </w:r>
      <w:r w:rsidR="00E33507" w:rsidRPr="0098117F">
        <w:t xml:space="preserve"> </w:t>
      </w:r>
      <w:r w:rsidRPr="0098117F">
        <w:t>presencial</w:t>
      </w:r>
      <w:r w:rsidR="00604DF9" w:rsidRPr="0098117F">
        <w:t xml:space="preserve"> y virtual.</w:t>
      </w:r>
    </w:p>
    <w:p w:rsidR="00E33507" w:rsidRPr="0098117F" w:rsidRDefault="00E33507" w:rsidP="009A35B1">
      <w:pPr>
        <w:pStyle w:val="Prrafodelista"/>
        <w:numPr>
          <w:ilvl w:val="0"/>
          <w:numId w:val="3"/>
        </w:numPr>
        <w:jc w:val="both"/>
      </w:pPr>
      <w:r w:rsidRPr="0098117F">
        <w:t xml:space="preserve">Revisión del 100% de los riesgos y controles </w:t>
      </w:r>
    </w:p>
    <w:p w:rsidR="00E33507" w:rsidRPr="0098117F" w:rsidRDefault="00E33507" w:rsidP="009A35B1">
      <w:pPr>
        <w:pStyle w:val="Prrafodelista"/>
        <w:numPr>
          <w:ilvl w:val="0"/>
          <w:numId w:val="3"/>
        </w:numPr>
        <w:jc w:val="both"/>
      </w:pPr>
      <w:r w:rsidRPr="0098117F">
        <w:t xml:space="preserve">Evidencias solicitadas por muestreo selectivo </w:t>
      </w:r>
    </w:p>
    <w:p w:rsidR="0081729A" w:rsidRPr="0098117F" w:rsidRDefault="0081729A" w:rsidP="0081729A">
      <w:pPr>
        <w:jc w:val="both"/>
      </w:pPr>
      <w:r w:rsidRPr="0098117F">
        <w:t>El resultado del monitoreo se encuentra registrado en cada una de las matrices de los riesgos</w:t>
      </w:r>
      <w:r w:rsidR="0042602B">
        <w:t xml:space="preserve"> por cada proceso</w:t>
      </w:r>
      <w:r w:rsidRPr="0098117F">
        <w:t>.</w:t>
      </w:r>
    </w:p>
    <w:p w:rsidR="0081729A" w:rsidRPr="0098117F" w:rsidRDefault="0081729A" w:rsidP="0081729A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98117F">
        <w:rPr>
          <w:b/>
          <w:bCs/>
        </w:rPr>
        <w:t>Ruta de publicación:</w:t>
      </w:r>
    </w:p>
    <w:p w:rsidR="0042602B" w:rsidRDefault="0081729A" w:rsidP="0081729A">
      <w:pPr>
        <w:pStyle w:val="Prrafodelista"/>
        <w:ind w:left="1080"/>
        <w:jc w:val="both"/>
      </w:pPr>
      <w:r w:rsidRPr="0098117F">
        <w:t xml:space="preserve">Riesgos de corrupción: </w:t>
      </w:r>
      <w:hyperlink r:id="rId7" w:history="1">
        <w:r w:rsidRPr="0098117F">
          <w:rPr>
            <w:rStyle w:val="Hipervnculo"/>
          </w:rPr>
          <w:t>https://www.idrd.gov.co/transparencia-acceso-informacion-publica/planeacion-presupuesto-informes/plan-de-accion/programa-de-transparencia-y-etica-publica</w:t>
        </w:r>
      </w:hyperlink>
      <w:r w:rsidR="00FA0CA8">
        <w:rPr>
          <w:color w:val="0070C0"/>
        </w:rPr>
        <w:t xml:space="preserve">  - 2025</w:t>
      </w:r>
      <w:r w:rsidRPr="0098117F">
        <w:t xml:space="preserve"> - monitoreo riesgos corrupción</w:t>
      </w:r>
    </w:p>
    <w:p w:rsidR="0081729A" w:rsidRPr="0098117F" w:rsidRDefault="0042602B" w:rsidP="0081729A">
      <w:pPr>
        <w:pStyle w:val="Prrafodelista"/>
        <w:ind w:left="1080"/>
        <w:jc w:val="both"/>
        <w:rPr>
          <w:color w:val="0070C0"/>
        </w:rPr>
      </w:pPr>
      <w:r>
        <w:t xml:space="preserve">Riesgos de gestión: </w:t>
      </w:r>
      <w:proofErr w:type="spellStart"/>
      <w:r>
        <w:t>isolucion</w:t>
      </w:r>
      <w:proofErr w:type="spellEnd"/>
      <w:r>
        <w:t xml:space="preserve">- </w:t>
      </w:r>
      <w:proofErr w:type="spellStart"/>
      <w:r>
        <w:t>Tips</w:t>
      </w:r>
      <w:proofErr w:type="spellEnd"/>
      <w:r>
        <w:t xml:space="preserve"> de inter</w:t>
      </w:r>
      <w:r w:rsidR="00FA0CA8">
        <w:t>és- riesgos de gestión- año 2025</w:t>
      </w:r>
      <w:r>
        <w:t>.</w:t>
      </w:r>
      <w:r w:rsidR="0081729A" w:rsidRPr="0098117F">
        <w:t xml:space="preserve"> </w:t>
      </w:r>
    </w:p>
    <w:p w:rsidR="009A1E7E" w:rsidRPr="0098117F" w:rsidRDefault="009A1E7E" w:rsidP="009A1E7E">
      <w:pPr>
        <w:pStyle w:val="Prrafodelista"/>
        <w:jc w:val="both"/>
      </w:pPr>
    </w:p>
    <w:p w:rsidR="003D6E35" w:rsidRDefault="003D6E35" w:rsidP="00E3350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Riesgos materializados </w:t>
      </w:r>
    </w:p>
    <w:p w:rsidR="00462EAA" w:rsidRPr="00462EAA" w:rsidRDefault="00462EAA" w:rsidP="005770E6">
      <w:pPr>
        <w:jc w:val="both"/>
      </w:pPr>
      <w:r w:rsidRPr="00462EAA">
        <w:t>A continuación se presentan los riesgos materializa</w:t>
      </w:r>
      <w:r w:rsidR="005770E6">
        <w:t>dos</w:t>
      </w:r>
      <w:r w:rsidR="00161936">
        <w:t xml:space="preserve">, cuyas fuentes de origen son los informes de auditoría de la tercera línea de </w:t>
      </w:r>
      <w:r w:rsidR="00FA0CA8">
        <w:t>defensa, el</w:t>
      </w:r>
      <w:r w:rsidR="00161936">
        <w:t xml:space="preserve"> monitoreo realizado por segunda línea de defensa</w:t>
      </w:r>
      <w:r w:rsidR="005770E6">
        <w:t xml:space="preserve"> </w:t>
      </w:r>
      <w:r w:rsidR="00EE712B">
        <w:t xml:space="preserve">y autoevaluaciones </w:t>
      </w:r>
      <w:r w:rsidR="00ED3DB7">
        <w:t xml:space="preserve">realizadas por primera línea de defensa </w:t>
      </w:r>
      <w:r w:rsidR="00161936">
        <w:t>en el segundo trimestre de 2025</w:t>
      </w:r>
      <w:bookmarkStart w:id="0" w:name="_GoBack"/>
      <w:bookmarkEnd w:id="0"/>
      <w:r w:rsidR="00ED3DB7">
        <w:t>.</w:t>
      </w:r>
    </w:p>
    <w:p w:rsidR="003F3096" w:rsidRPr="00E158AC" w:rsidRDefault="00CF2D18" w:rsidP="00D803BD">
      <w:pPr>
        <w:ind w:left="708"/>
        <w:jc w:val="both"/>
        <w:rPr>
          <w:b/>
          <w:bCs/>
          <w:u w:val="single"/>
        </w:rPr>
      </w:pPr>
      <w:r w:rsidRPr="00E158AC">
        <w:rPr>
          <w:b/>
          <w:bCs/>
          <w:u w:val="single"/>
        </w:rPr>
        <w:t xml:space="preserve">Proceso: </w:t>
      </w:r>
      <w:r w:rsidR="00D6435B" w:rsidRPr="00E158AC">
        <w:rPr>
          <w:b/>
          <w:bCs/>
          <w:u w:val="single"/>
        </w:rPr>
        <w:t xml:space="preserve">Talento humano: </w:t>
      </w:r>
    </w:p>
    <w:p w:rsidR="00A5516B" w:rsidRPr="0011240B" w:rsidRDefault="00A5516B" w:rsidP="00AB1BB2">
      <w:pPr>
        <w:ind w:left="708"/>
        <w:jc w:val="both"/>
      </w:pPr>
      <w:r>
        <w:rPr>
          <w:b/>
          <w:bCs/>
        </w:rPr>
        <w:t xml:space="preserve">Fuente de </w:t>
      </w:r>
      <w:r w:rsidR="0011240B">
        <w:rPr>
          <w:b/>
          <w:bCs/>
        </w:rPr>
        <w:t xml:space="preserve">origen: </w:t>
      </w:r>
      <w:r w:rsidR="0011240B" w:rsidRPr="0011240B">
        <w:t xml:space="preserve">Auditoría de tercera línea de defensa </w:t>
      </w:r>
    </w:p>
    <w:p w:rsidR="00AB1BB2" w:rsidRDefault="004A678D" w:rsidP="00AB1BB2">
      <w:pPr>
        <w:ind w:left="708"/>
        <w:jc w:val="both"/>
      </w:pPr>
      <w:r w:rsidRPr="004A678D">
        <w:rPr>
          <w:b/>
          <w:bCs/>
        </w:rPr>
        <w:t>Descripción del riesgo</w:t>
      </w:r>
      <w:r>
        <w:t xml:space="preserve">: </w:t>
      </w:r>
      <w:r w:rsidR="003F3096" w:rsidRPr="00AB1BB2">
        <w:t xml:space="preserve">POSIBILIDAD DE </w:t>
      </w:r>
      <w:r w:rsidR="00AB1BB2">
        <w:t>a</w:t>
      </w:r>
      <w:r w:rsidR="003F3096" w:rsidRPr="00AB1BB2">
        <w:t xml:space="preserve">fectación reputacional </w:t>
      </w:r>
      <w:r w:rsidR="00D6435B">
        <w:t>por</w:t>
      </w:r>
      <w:r w:rsidR="003F3096" w:rsidRPr="00AB1BB2">
        <w:t xml:space="preserve"> incumplimiento de la normatividad vigente aplicable a los planes que conforman el plan estratégico de talento </w:t>
      </w:r>
      <w:r w:rsidR="003F3096" w:rsidRPr="00AB1BB2">
        <w:lastRenderedPageBreak/>
        <w:t>humano</w:t>
      </w:r>
      <w:r w:rsidR="00D6435B">
        <w:t xml:space="preserve">/ </w:t>
      </w:r>
      <w:r w:rsidR="00AB1BB2" w:rsidRPr="00AB1BB2">
        <w:t xml:space="preserve">POR </w:t>
      </w:r>
      <w:r w:rsidR="00D6435B">
        <w:t>n</w:t>
      </w:r>
      <w:r w:rsidR="00AB1BB2" w:rsidRPr="00AB1BB2">
        <w:t xml:space="preserve">o cumplir con la </w:t>
      </w:r>
      <w:r w:rsidRPr="00AB1BB2">
        <w:t>meta establecida para</w:t>
      </w:r>
      <w:r w:rsidR="00AB1BB2" w:rsidRPr="00AB1BB2">
        <w:t xml:space="preserve"> los planes que </w:t>
      </w:r>
      <w:r w:rsidRPr="00AB1BB2">
        <w:t>conforman el</w:t>
      </w:r>
      <w:r w:rsidR="00AB1BB2" w:rsidRPr="00AB1BB2">
        <w:t xml:space="preserve"> Plan Estratégico de Talento Humano (PIC, Bienestar e incentivos y </w:t>
      </w:r>
      <w:r w:rsidRPr="00AB1BB2">
        <w:t>SST)</w:t>
      </w:r>
      <w:r>
        <w:t xml:space="preserve"> /</w:t>
      </w:r>
      <w:r w:rsidR="00D6435B">
        <w:t xml:space="preserve"> </w:t>
      </w:r>
      <w:r w:rsidR="00AB1BB2" w:rsidRPr="00AB1BB2">
        <w:t>DEBIDO A falta de seguimiento a la ejecución de los planes</w:t>
      </w:r>
    </w:p>
    <w:p w:rsidR="00CF2D18" w:rsidRDefault="00CF2D18" w:rsidP="00AB1BB2">
      <w:pPr>
        <w:ind w:left="708"/>
        <w:jc w:val="both"/>
      </w:pPr>
      <w:r>
        <w:rPr>
          <w:b/>
          <w:bCs/>
        </w:rPr>
        <w:t>Evidencias de materialización</w:t>
      </w:r>
      <w:r w:rsidRPr="00CF2D18">
        <w:t>:</w:t>
      </w:r>
      <w:r>
        <w:t xml:space="preserve"> </w:t>
      </w:r>
      <w:r w:rsidRPr="00CF2D18">
        <w:t>Incumplimiento del indicador "Porcentaje de ejecución del plan institucional de capacitación". Meta: 85%. Resultado a noviembre 2024:  78%</w:t>
      </w:r>
    </w:p>
    <w:p w:rsidR="00995508" w:rsidRDefault="00CF2D18" w:rsidP="00AB1BB2">
      <w:pPr>
        <w:ind w:left="708"/>
        <w:jc w:val="both"/>
      </w:pPr>
      <w:r w:rsidRPr="00CF2D18">
        <w:rPr>
          <w:b/>
          <w:bCs/>
        </w:rPr>
        <w:t>Acciones por tomar:</w:t>
      </w:r>
      <w:r>
        <w:t xml:space="preserve"> </w:t>
      </w:r>
      <w:r w:rsidR="00995508" w:rsidRPr="00995508">
        <w:t xml:space="preserve">Se fortaleció el control en el mapa de riesgos: "Se revisa que las actividades establecidas en los planes se puedan ejecutar en el mes programado teniendo en cuenta </w:t>
      </w:r>
      <w:r w:rsidRPr="00995508">
        <w:t>disponibilidad de</w:t>
      </w:r>
      <w:r w:rsidR="00995508" w:rsidRPr="00995508">
        <w:t xml:space="preserve"> proveedores, presupuesto asignado </w:t>
      </w:r>
      <w:r w:rsidRPr="00995508">
        <w:t>y logística</w:t>
      </w:r>
      <w:r w:rsidR="00995508" w:rsidRPr="00995508">
        <w:t xml:space="preserve">. </w:t>
      </w:r>
      <w:r w:rsidRPr="00995508">
        <w:t>En caso de que</w:t>
      </w:r>
      <w:r w:rsidR="00995508" w:rsidRPr="00995508">
        <w:t xml:space="preserve"> las actividades programadas en los planes no se puedan ejecutar, se informa a las Subdirección Administrativa y Financiera para tomar las decisiones a que haya lugar, como por ejemplo priorizar y/o reprogramar actividades.</w:t>
      </w:r>
    </w:p>
    <w:p w:rsidR="00CF2D18" w:rsidRDefault="00CF2D18" w:rsidP="00AB1BB2">
      <w:pPr>
        <w:ind w:left="708"/>
        <w:jc w:val="both"/>
        <w:rPr>
          <w:b/>
          <w:bCs/>
        </w:rPr>
      </w:pPr>
      <w:r w:rsidRPr="00E158AC">
        <w:rPr>
          <w:b/>
          <w:bCs/>
          <w:u w:val="single"/>
        </w:rPr>
        <w:t>Proceso: Servicio a la ciudadanía</w:t>
      </w:r>
      <w:r>
        <w:rPr>
          <w:b/>
          <w:bCs/>
        </w:rPr>
        <w:t xml:space="preserve">: </w:t>
      </w:r>
    </w:p>
    <w:p w:rsidR="0011240B" w:rsidRPr="0011240B" w:rsidRDefault="0011240B" w:rsidP="0011240B">
      <w:pPr>
        <w:ind w:left="708"/>
        <w:jc w:val="both"/>
      </w:pPr>
      <w:r>
        <w:rPr>
          <w:b/>
          <w:bCs/>
        </w:rPr>
        <w:t xml:space="preserve">Fuente de origen: </w:t>
      </w:r>
      <w:r w:rsidR="00043089">
        <w:t>Monitoreo segunda línea de defensa</w:t>
      </w:r>
      <w:r w:rsidRPr="0011240B">
        <w:t xml:space="preserve"> </w:t>
      </w:r>
    </w:p>
    <w:p w:rsidR="0006131B" w:rsidRDefault="00CF2D18" w:rsidP="0006131B">
      <w:pPr>
        <w:ind w:left="708"/>
        <w:jc w:val="both"/>
      </w:pPr>
      <w:r w:rsidRPr="004A678D">
        <w:rPr>
          <w:b/>
          <w:bCs/>
        </w:rPr>
        <w:t>Descripción del riesgo</w:t>
      </w:r>
      <w:r>
        <w:t>:</w:t>
      </w:r>
      <w:r w:rsidR="00C72125">
        <w:t xml:space="preserve"> POSIBILIDAD DE afectación reputacional por Insatisfacción de los ciudadanos</w:t>
      </w:r>
      <w:r w:rsidR="0006131B">
        <w:t>/ POR verificar el perfil del portal ciudadano por fuera del tiempo establecido/ DEBIDO A la no revisión de los perfiles de los usuarios en el portal ciudadano del IDRD</w:t>
      </w:r>
    </w:p>
    <w:p w:rsidR="00A03AF2" w:rsidRPr="00A03AF2" w:rsidRDefault="00CF2D18" w:rsidP="00AB1BB2">
      <w:pPr>
        <w:ind w:left="708"/>
        <w:jc w:val="both"/>
      </w:pPr>
      <w:r>
        <w:rPr>
          <w:b/>
          <w:bCs/>
        </w:rPr>
        <w:t xml:space="preserve">Evidencias de materialización: </w:t>
      </w:r>
      <w:r w:rsidR="00A03AF2" w:rsidRPr="00A03AF2">
        <w:t>Incumplimiento del indicador "Número de peticiones asociados a la no verificación de los perfiles dentro de los términos". Meta: 100%. Resultado a febrero 2025: 87%</w:t>
      </w:r>
    </w:p>
    <w:p w:rsidR="00CD2214" w:rsidRDefault="00CF2D18" w:rsidP="00CD2214">
      <w:pPr>
        <w:ind w:left="708"/>
        <w:jc w:val="both"/>
      </w:pPr>
      <w:r>
        <w:rPr>
          <w:b/>
          <w:bCs/>
        </w:rPr>
        <w:t xml:space="preserve">Acciones por tomar: </w:t>
      </w:r>
      <w:r w:rsidR="00CD2214">
        <w:t>Se incluye nueva causa y nuevo control:</w:t>
      </w:r>
    </w:p>
    <w:p w:rsidR="00CD2214" w:rsidRDefault="00CD2214" w:rsidP="00CD2214">
      <w:pPr>
        <w:ind w:left="708"/>
        <w:jc w:val="both"/>
      </w:pPr>
      <w:r>
        <w:t xml:space="preserve">Causa:  Falta de personal de apoyo para cumplir con los tiempos de verificación de perfiles </w:t>
      </w:r>
    </w:p>
    <w:p w:rsidR="003F3096" w:rsidRDefault="00CD2214" w:rsidP="00D803BD">
      <w:pPr>
        <w:ind w:left="708"/>
        <w:jc w:val="both"/>
      </w:pPr>
      <w:r>
        <w:t>Control: Revisar que se haya asignado la tarea de verificar los perfiles a otros integrantes del equipo humano de Servicio a la Ciudadanía cuando no se cuente con el número de personas requeridas para la actividad.</w:t>
      </w:r>
    </w:p>
    <w:p w:rsidR="00E158AC" w:rsidRDefault="00E158AC" w:rsidP="00E158AC">
      <w:pPr>
        <w:ind w:left="708"/>
        <w:jc w:val="both"/>
        <w:rPr>
          <w:b/>
          <w:bCs/>
          <w:u w:val="single"/>
        </w:rPr>
      </w:pPr>
      <w:r w:rsidRPr="008029F4">
        <w:rPr>
          <w:b/>
          <w:bCs/>
          <w:u w:val="single"/>
        </w:rPr>
        <w:t>Proceso: Gestión de Recursos Físicos</w:t>
      </w:r>
    </w:p>
    <w:p w:rsidR="00E158AC" w:rsidRPr="0011240B" w:rsidRDefault="00E158AC" w:rsidP="00E158AC">
      <w:pPr>
        <w:ind w:left="708"/>
        <w:jc w:val="both"/>
      </w:pPr>
      <w:r>
        <w:rPr>
          <w:b/>
          <w:bCs/>
        </w:rPr>
        <w:t xml:space="preserve">Fuente de origen: </w:t>
      </w:r>
      <w:r w:rsidR="00667EF6">
        <w:t>Autoevaluación primera línea de defensa</w:t>
      </w:r>
    </w:p>
    <w:p w:rsidR="00E158AC" w:rsidRDefault="00E158AC" w:rsidP="00E158AC">
      <w:pPr>
        <w:ind w:left="708"/>
        <w:jc w:val="both"/>
      </w:pPr>
      <w:r w:rsidRPr="004A678D">
        <w:rPr>
          <w:b/>
          <w:bCs/>
        </w:rPr>
        <w:t>Descripción del riesgo</w:t>
      </w:r>
      <w:r>
        <w:t xml:space="preserve">: POSIBILIDAD de afectación económica en el manejo de inventarios POR faltante de los bienes devolutivos y de consumo que se encuentren en la bodega de Almacén General. DEBIDO a la pérdida del elemento. </w:t>
      </w:r>
    </w:p>
    <w:p w:rsidR="00E158AC" w:rsidRDefault="00E158AC" w:rsidP="00E158AC">
      <w:pPr>
        <w:ind w:left="708"/>
        <w:jc w:val="both"/>
        <w:rPr>
          <w:rFonts w:ascii="Aptos" w:hAnsi="Aptos"/>
          <w:color w:val="000000"/>
          <w:shd w:val="clear" w:color="auto" w:fill="FFFFFF"/>
        </w:rPr>
      </w:pPr>
      <w:r>
        <w:rPr>
          <w:b/>
          <w:bCs/>
        </w:rPr>
        <w:t xml:space="preserve">Evidencias de materialización: </w:t>
      </w:r>
      <w:r>
        <w:rPr>
          <w:rFonts w:ascii="Aptos" w:hAnsi="Aptos"/>
          <w:color w:val="000000"/>
          <w:shd w:val="clear" w:color="auto" w:fill="FFFFFF"/>
        </w:rPr>
        <w:t>por el </w:t>
      </w:r>
      <w:r>
        <w:rPr>
          <w:rFonts w:ascii="Aptos" w:hAnsi="Aptos"/>
          <w:b/>
          <w:bCs/>
          <w:color w:val="000000"/>
          <w:shd w:val="clear" w:color="auto" w:fill="FFFFFF"/>
        </w:rPr>
        <w:t>hurto de un bien devolutivo en servicio</w:t>
      </w:r>
      <w:r>
        <w:rPr>
          <w:rFonts w:ascii="Aptos" w:hAnsi="Aptos"/>
          <w:color w:val="000000"/>
          <w:shd w:val="clear" w:color="auto" w:fill="FFFFFF"/>
        </w:rPr>
        <w:t> en el CEFE Fontanar del Río. El bien, identificado con </w:t>
      </w:r>
      <w:r>
        <w:rPr>
          <w:rFonts w:ascii="Aptos" w:hAnsi="Aptos"/>
          <w:b/>
          <w:bCs/>
          <w:color w:val="000000"/>
          <w:shd w:val="clear" w:color="auto" w:fill="FFFFFF"/>
        </w:rPr>
        <w:t>placa No. 47222</w:t>
      </w:r>
      <w:r>
        <w:rPr>
          <w:rFonts w:ascii="Aptos" w:hAnsi="Aptos"/>
          <w:color w:val="000000"/>
          <w:shd w:val="clear" w:color="auto" w:fill="FFFFFF"/>
        </w:rPr>
        <w:t>, estaba bajo la responsabilidad del contratista </w:t>
      </w:r>
      <w:r>
        <w:rPr>
          <w:rFonts w:ascii="Aptos" w:hAnsi="Aptos"/>
          <w:b/>
          <w:bCs/>
          <w:color w:val="000000"/>
          <w:shd w:val="clear" w:color="auto" w:fill="FFFFFF"/>
        </w:rPr>
        <w:t>Iván Darío Murillo</w:t>
      </w:r>
      <w:r>
        <w:rPr>
          <w:rFonts w:ascii="Aptos" w:hAnsi="Aptos"/>
          <w:color w:val="000000"/>
          <w:shd w:val="clear" w:color="auto" w:fill="FFFFFF"/>
        </w:rPr>
        <w:t>, identificado con cédula de ciudadanía </w:t>
      </w:r>
      <w:r>
        <w:rPr>
          <w:rFonts w:ascii="Aptos" w:hAnsi="Aptos"/>
          <w:b/>
          <w:bCs/>
          <w:color w:val="000000"/>
          <w:shd w:val="clear" w:color="auto" w:fill="FFFFFF"/>
        </w:rPr>
        <w:t>No. 1014243800</w:t>
      </w:r>
      <w:r>
        <w:rPr>
          <w:rFonts w:ascii="Aptos" w:hAnsi="Aptos"/>
          <w:color w:val="000000"/>
          <w:shd w:val="clear" w:color="auto" w:fill="FFFFFF"/>
        </w:rPr>
        <w:t>.</w:t>
      </w:r>
    </w:p>
    <w:p w:rsidR="00E158AC" w:rsidRPr="008029F4" w:rsidRDefault="00E158AC" w:rsidP="00E158AC">
      <w:pPr>
        <w:shd w:val="clear" w:color="auto" w:fill="FFFFFF"/>
        <w:tabs>
          <w:tab w:val="left" w:pos="993"/>
        </w:tabs>
        <w:ind w:left="709"/>
        <w:jc w:val="both"/>
        <w:textAlignment w:val="baseline"/>
      </w:pPr>
      <w:r w:rsidRPr="008029F4">
        <w:t xml:space="preserve">Debido a la naturaleza del riesgo el proceso informa que </w:t>
      </w:r>
      <w:r>
        <w:t>e</w:t>
      </w:r>
      <w:r w:rsidRPr="008029F4">
        <w:t>sta situación fue informada oportunamente al Área de Almacén General, a quien se orientó e informó sobre el procedimiento a seguir, dado que el contratista figuraba como custodio del bien.</w:t>
      </w:r>
    </w:p>
    <w:p w:rsidR="00E158AC" w:rsidRDefault="00E158AC" w:rsidP="00E158AC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</w:pPr>
      <w:r w:rsidRPr="008029F4">
        <w:lastRenderedPageBreak/>
        <w:t>Gestión adelantada por el responsable del proceso:</w:t>
      </w:r>
    </w:p>
    <w:p w:rsidR="00E158AC" w:rsidRPr="008029F4" w:rsidRDefault="00E158AC" w:rsidP="00E158AC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</w:pPr>
    </w:p>
    <w:p w:rsidR="00E158AC" w:rsidRPr="008029F4" w:rsidRDefault="00E158AC" w:rsidP="00E158AC">
      <w:pPr>
        <w:shd w:val="clear" w:color="auto" w:fill="FFFFFF"/>
        <w:tabs>
          <w:tab w:val="left" w:pos="993"/>
        </w:tabs>
        <w:spacing w:line="240" w:lineRule="auto"/>
        <w:ind w:left="709"/>
        <w:jc w:val="both"/>
        <w:textAlignment w:val="baseline"/>
      </w:pPr>
      <w:r w:rsidRPr="008029F4">
        <w:t>En cumplimiento del tratamiento definido para este tipo de riesgo (reducir – compartir), se llevaron a cabo las siguientes acciones:</w:t>
      </w:r>
    </w:p>
    <w:p w:rsidR="00E158AC" w:rsidRPr="008029F4" w:rsidRDefault="00E158AC" w:rsidP="00E158AC">
      <w:pPr>
        <w:numPr>
          <w:ilvl w:val="0"/>
          <w:numId w:val="1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firstLine="0"/>
        <w:jc w:val="both"/>
        <w:textAlignment w:val="baseline"/>
      </w:pPr>
      <w:r w:rsidRPr="008029F4">
        <w:t>Se realizaron gestiones con la empresa de vigilancia, lo que permitió la reposición del bien afectado.</w:t>
      </w:r>
    </w:p>
    <w:p w:rsidR="00E158AC" w:rsidRPr="008029F4" w:rsidRDefault="00E158AC" w:rsidP="00E158AC">
      <w:pPr>
        <w:numPr>
          <w:ilvl w:val="0"/>
          <w:numId w:val="1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firstLine="0"/>
        <w:jc w:val="both"/>
        <w:textAlignment w:val="baseline"/>
      </w:pPr>
      <w:r w:rsidRPr="008029F4">
        <w:t>Se mantuvo el cumplimiento de los controles establecidos y la vigencia de las pólizas de seguro, garantizando cobertura ante eventos similares.</w:t>
      </w:r>
    </w:p>
    <w:p w:rsidR="00E158AC" w:rsidRPr="008029F4" w:rsidRDefault="00E158AC" w:rsidP="00E158AC">
      <w:pPr>
        <w:numPr>
          <w:ilvl w:val="0"/>
          <w:numId w:val="1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firstLine="0"/>
        <w:jc w:val="both"/>
        <w:textAlignment w:val="baseline"/>
      </w:pPr>
      <w:r w:rsidRPr="008029F4">
        <w:t>Se aseguró el ingreso del bien de reposición al inventario institucional.</w:t>
      </w:r>
    </w:p>
    <w:p w:rsidR="00E158AC" w:rsidRPr="008029F4" w:rsidRDefault="00E158AC" w:rsidP="00E158AC">
      <w:pPr>
        <w:numPr>
          <w:ilvl w:val="0"/>
          <w:numId w:val="1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firstLine="0"/>
        <w:jc w:val="both"/>
        <w:textAlignment w:val="baseline"/>
      </w:pPr>
      <w:r w:rsidRPr="008029F4">
        <w:t>Se remitió la denuncia correspondiente ante las autoridades competentes, cumpliendo con el procedimiento establecido.</w:t>
      </w:r>
    </w:p>
    <w:p w:rsidR="00E158AC" w:rsidRPr="008029F4" w:rsidRDefault="00E158AC" w:rsidP="00E158AC">
      <w:pPr>
        <w:shd w:val="clear" w:color="auto" w:fill="FFFFFF"/>
        <w:tabs>
          <w:tab w:val="left" w:pos="993"/>
        </w:tabs>
        <w:spacing w:line="240" w:lineRule="auto"/>
        <w:ind w:left="709"/>
        <w:jc w:val="both"/>
        <w:textAlignment w:val="baseline"/>
      </w:pPr>
      <w:r w:rsidRPr="008029F4">
        <w:t>Estas acciones permitieron mitigar el impacto del riesgo materializado, evitando afectaciones reputacionales, económicas o funcionales para la entidad. El proceso continúa con la implementación de los controles y tratamientos definidos, los cuales han demostrado ser efectivos para prevenir nuevos eventos y mantener el riesgo bajo control.</w:t>
      </w:r>
    </w:p>
    <w:p w:rsidR="00E158AC" w:rsidRDefault="00E158AC" w:rsidP="00E158AC">
      <w:pPr>
        <w:ind w:left="708"/>
        <w:jc w:val="both"/>
      </w:pPr>
      <w:r>
        <w:rPr>
          <w:b/>
          <w:bCs/>
        </w:rPr>
        <w:t xml:space="preserve">Acciones por tomar: </w:t>
      </w:r>
      <w:r>
        <w:t xml:space="preserve"> No se requieren acciones adicionales ni ajustes al mapa de riesgos, dado que el evento fue gestionado conforme al tratamiento definido, sin generar afectaciones a la entidad. La naturaleza del riesgo no permite su eliminación, pero sí la mitigación del impacto, lo cual se logró efectivamente con las medidas implementadas.</w:t>
      </w:r>
    </w:p>
    <w:p w:rsidR="00E158AC" w:rsidRDefault="00E158AC" w:rsidP="00E158AC">
      <w:pPr>
        <w:ind w:left="708"/>
        <w:jc w:val="both"/>
        <w:rPr>
          <w:b/>
          <w:bCs/>
          <w:u w:val="single"/>
        </w:rPr>
      </w:pPr>
      <w:r w:rsidRPr="004D7D85">
        <w:rPr>
          <w:b/>
          <w:bCs/>
          <w:u w:val="single"/>
        </w:rPr>
        <w:t xml:space="preserve">Proceso: </w:t>
      </w:r>
      <w:r w:rsidRPr="008029F4">
        <w:rPr>
          <w:b/>
          <w:bCs/>
          <w:u w:val="single"/>
        </w:rPr>
        <w:t>Administración y Mantenimiento de Parques y Escenarios</w:t>
      </w:r>
    </w:p>
    <w:p w:rsidR="0083309D" w:rsidRPr="0011240B" w:rsidRDefault="0083309D" w:rsidP="0083309D">
      <w:pPr>
        <w:ind w:left="708"/>
        <w:jc w:val="both"/>
      </w:pPr>
      <w:r>
        <w:rPr>
          <w:b/>
          <w:bCs/>
        </w:rPr>
        <w:t xml:space="preserve">Fuente de origen: </w:t>
      </w:r>
      <w:r>
        <w:t>Monitoreo segunda línea de defensa</w:t>
      </w:r>
      <w:r w:rsidRPr="0011240B">
        <w:t xml:space="preserve"> </w:t>
      </w:r>
    </w:p>
    <w:p w:rsidR="00E158AC" w:rsidRPr="008029F4" w:rsidRDefault="00E158AC" w:rsidP="00E158AC">
      <w:pPr>
        <w:ind w:left="708"/>
        <w:jc w:val="both"/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</w:pPr>
      <w:r w:rsidRPr="004A678D">
        <w:rPr>
          <w:b/>
          <w:bCs/>
        </w:rPr>
        <w:t>Descripción del riesgo</w:t>
      </w:r>
      <w:r>
        <w:t xml:space="preserve">: </w:t>
      </w:r>
      <w:r w:rsidRPr="00B871CC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POSIBILIDAD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 </w:t>
      </w:r>
      <w:r w:rsidRPr="00B871CC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DE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 a</w:t>
      </w:r>
      <w:r w:rsidRPr="00B871CC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fectación reputacional por no dar cumplimiento a la atención de las PQRSD, dentro del término establecido por Ley.</w:t>
      </w:r>
      <w:r w:rsidRPr="00A93BE8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 </w:t>
      </w:r>
      <w:r w:rsidRPr="00B871CC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POR 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i</w:t>
      </w:r>
      <w:r w:rsidRPr="00B871CC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ncumplimiento a las PQRSD atendidas dentro de los términos legales vigentes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. </w:t>
      </w:r>
      <w:r w:rsidRPr="00B871CC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DEBIDO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 a la </w:t>
      </w:r>
      <w:r w:rsidRPr="00B871CC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falta de acciones frente a la gestión de las respuestas de PQRDS</w:t>
      </w:r>
      <w:r w:rsidRPr="00A93BE8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 </w:t>
      </w:r>
    </w:p>
    <w:p w:rsidR="00E158AC" w:rsidRDefault="00E158AC" w:rsidP="00E158AC">
      <w:pPr>
        <w:ind w:left="708"/>
        <w:jc w:val="both"/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</w:pPr>
      <w:r>
        <w:rPr>
          <w:b/>
          <w:bCs/>
        </w:rPr>
        <w:t>Evidencias de materialización</w:t>
      </w:r>
      <w:r w:rsidRPr="00CF2D18">
        <w:t>:</w:t>
      </w:r>
      <w:r>
        <w:t xml:space="preserve"> </w:t>
      </w:r>
      <w:r w:rsidRPr="007559ED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Incumplimiento del indicador "Manejo de plataforma de Bogotá Te Escucha". Meta: 100%. Resultado: 99%</w:t>
      </w:r>
    </w:p>
    <w:p w:rsidR="00E158AC" w:rsidRPr="007559ED" w:rsidRDefault="00E158AC" w:rsidP="00E158AC">
      <w:pPr>
        <w:ind w:left="708"/>
        <w:jc w:val="both"/>
      </w:pPr>
      <w:r w:rsidRPr="00CF2D18">
        <w:rPr>
          <w:b/>
          <w:bCs/>
        </w:rPr>
        <w:t>Acciones por tomar:</w:t>
      </w:r>
      <w:r>
        <w:rPr>
          <w:b/>
          <w:bCs/>
        </w:rPr>
        <w:t xml:space="preserve"> </w:t>
      </w:r>
      <w:r w:rsidRPr="008029F4">
        <w:t>A la fecha de este informe el proceso está tomando acciones correctivas frente al evento materializado y su cargue a la plataforma ISOLUCION.</w:t>
      </w:r>
      <w:r w:rsidRPr="007559ED">
        <w:t xml:space="preserve"> </w:t>
      </w:r>
    </w:p>
    <w:p w:rsidR="00E158AC" w:rsidRDefault="00E158AC" w:rsidP="00E158AC">
      <w:pPr>
        <w:ind w:left="708"/>
        <w:jc w:val="both"/>
        <w:rPr>
          <w:b/>
          <w:bCs/>
          <w:u w:val="single"/>
        </w:rPr>
      </w:pPr>
      <w:r w:rsidRPr="008029F4">
        <w:rPr>
          <w:b/>
          <w:bCs/>
          <w:u w:val="single"/>
        </w:rPr>
        <w:t>Proceso: Fomento de la Actividad Física, el Deporte y la Recreación</w:t>
      </w:r>
    </w:p>
    <w:p w:rsidR="00CF1B1B" w:rsidRPr="0011240B" w:rsidRDefault="00CF1B1B" w:rsidP="00CF1B1B">
      <w:pPr>
        <w:ind w:left="708"/>
        <w:jc w:val="both"/>
      </w:pPr>
      <w:r>
        <w:rPr>
          <w:b/>
          <w:bCs/>
        </w:rPr>
        <w:t xml:space="preserve">Fuente de origen: </w:t>
      </w:r>
      <w:r>
        <w:t>Monitoreo segunda línea de defensa</w:t>
      </w:r>
      <w:r w:rsidRPr="0011240B">
        <w:t xml:space="preserve"> </w:t>
      </w:r>
    </w:p>
    <w:p w:rsidR="00E158AC" w:rsidRDefault="00E158AC" w:rsidP="00E158AC">
      <w:pPr>
        <w:ind w:left="708"/>
        <w:jc w:val="both"/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</w:pPr>
      <w:r w:rsidRPr="004A678D">
        <w:rPr>
          <w:b/>
          <w:bCs/>
        </w:rPr>
        <w:t>Descripción del riesgo</w:t>
      </w:r>
      <w:r>
        <w:t xml:space="preserve">: </w:t>
      </w:r>
      <w:r w:rsidRPr="005D6B43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POSIBILIDAD DE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 </w:t>
      </w:r>
      <w:r w:rsidRPr="005D6B43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afectación reputacional por </w:t>
      </w:r>
      <w:r w:rsidRPr="005D6B43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br/>
        <w:t xml:space="preserve"> insatisfacción de los ciudadanos en la prestación de servicios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. </w:t>
      </w:r>
      <w:r w:rsidRPr="005D6B43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POR</w:t>
      </w:r>
      <w:r w:rsidRPr="005D6B43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br/>
        <w:t xml:space="preserve"> respuestas a requerimientos de los ciudadanos que no cumplen con los criterios de calidad (calidez, claridad, solución de fondo y coherencia)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. </w:t>
      </w:r>
      <w:r w:rsidRPr="005D6B43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DEBIDO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 </w:t>
      </w:r>
      <w:r w:rsidRPr="005D6B43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a la falta de verificación en la calidad de las respuestas de PQRDS por parte de las Áreas / Dependencias</w:t>
      </w:r>
    </w:p>
    <w:p w:rsidR="00E158AC" w:rsidRDefault="00E158AC" w:rsidP="00E158AC">
      <w:pPr>
        <w:ind w:left="708"/>
        <w:jc w:val="both"/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</w:pPr>
      <w:r>
        <w:rPr>
          <w:b/>
          <w:bCs/>
        </w:rPr>
        <w:lastRenderedPageBreak/>
        <w:t>Evidencias de materialización</w:t>
      </w:r>
      <w:r w:rsidRPr="00CF2D18">
        <w:t>:</w:t>
      </w:r>
      <w:r>
        <w:t xml:space="preserve"> </w:t>
      </w:r>
      <w:r w:rsidRPr="00E07428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Incumplimiento del indicador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 </w:t>
      </w:r>
      <w:r w:rsidRPr="00E07428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"Calidad en las PQRDS</w:t>
      </w:r>
      <w:r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 xml:space="preserve"> </w:t>
      </w:r>
      <w:r w:rsidRPr="00E07428">
        <w:rPr>
          <w:rFonts w:ascii="Aptos Narrow" w:eastAsia="Times New Roman" w:hAnsi="Aptos Narrow" w:cs="Times New Roman"/>
          <w:color w:val="000000"/>
          <w:kern w:val="0"/>
          <w:lang w:val="es-419" w:eastAsia="es-419"/>
          <w14:ligatures w14:val="none"/>
        </w:rPr>
        <w:t>(Subdirección Técnica de Recreación y Deportes)". Meta: 100%. Resultado: 97%.</w:t>
      </w:r>
    </w:p>
    <w:p w:rsidR="00E158AC" w:rsidRPr="007559ED" w:rsidRDefault="00E158AC" w:rsidP="00E158AC">
      <w:pPr>
        <w:ind w:left="708"/>
        <w:jc w:val="both"/>
      </w:pPr>
      <w:r w:rsidRPr="00CF2D18">
        <w:rPr>
          <w:b/>
          <w:bCs/>
        </w:rPr>
        <w:t>Acciones por tomar:</w:t>
      </w:r>
      <w:r>
        <w:rPr>
          <w:b/>
          <w:bCs/>
        </w:rPr>
        <w:t xml:space="preserve"> </w:t>
      </w:r>
      <w:r w:rsidRPr="004D7D85">
        <w:t>A la fecha de este informe el proceso está tomando acciones correctivas frente al evento materializado y su cargue a la plataforma ISOLUCION.</w:t>
      </w:r>
      <w:r w:rsidRPr="007559ED">
        <w:t xml:space="preserve"> </w:t>
      </w:r>
    </w:p>
    <w:p w:rsidR="00E33507" w:rsidRPr="009E7C02" w:rsidRDefault="009A1E7E" w:rsidP="009E7C0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E7C02">
        <w:rPr>
          <w:b/>
          <w:bCs/>
        </w:rPr>
        <w:t>Conclusiones</w:t>
      </w:r>
    </w:p>
    <w:p w:rsidR="00EF2203" w:rsidRDefault="00EF2203" w:rsidP="00EF2203">
      <w:pPr>
        <w:pStyle w:val="Prrafodelista"/>
        <w:jc w:val="both"/>
      </w:pPr>
    </w:p>
    <w:p w:rsidR="00060F4A" w:rsidRPr="00060F4A" w:rsidRDefault="00060F4A" w:rsidP="00060F4A">
      <w:pPr>
        <w:pStyle w:val="Prrafodelista"/>
        <w:numPr>
          <w:ilvl w:val="0"/>
          <w:numId w:val="12"/>
        </w:numPr>
        <w:rPr>
          <w:lang w:val="es-419"/>
        </w:rPr>
      </w:pPr>
      <w:r w:rsidRPr="00060F4A">
        <w:t xml:space="preserve">Los controles cuentan con evidencias de acuerdo con las frecuencias establecidas.  </w:t>
      </w:r>
    </w:p>
    <w:p w:rsidR="00060F4A" w:rsidRPr="00060F4A" w:rsidRDefault="00060F4A" w:rsidP="00060F4A">
      <w:pPr>
        <w:pStyle w:val="Prrafodelista"/>
        <w:numPr>
          <w:ilvl w:val="0"/>
          <w:numId w:val="12"/>
        </w:numPr>
        <w:rPr>
          <w:lang w:val="es-419"/>
        </w:rPr>
      </w:pPr>
      <w:r w:rsidRPr="00060F4A">
        <w:t xml:space="preserve">Los indicadores cumplen con las metas establecidas. </w:t>
      </w:r>
    </w:p>
    <w:p w:rsidR="00060F4A" w:rsidRPr="00060F4A" w:rsidRDefault="00060F4A" w:rsidP="00060F4A">
      <w:pPr>
        <w:pStyle w:val="Prrafodelista"/>
        <w:numPr>
          <w:ilvl w:val="0"/>
          <w:numId w:val="12"/>
        </w:numPr>
        <w:rPr>
          <w:lang w:val="es-419"/>
        </w:rPr>
      </w:pPr>
      <w:r w:rsidRPr="00060F4A">
        <w:t>Los planes de acción cuentan con el seguimiento y evidencias correspondientes.</w:t>
      </w:r>
    </w:p>
    <w:p w:rsidR="00060F4A" w:rsidRPr="00060F4A" w:rsidRDefault="00060F4A" w:rsidP="00060F4A">
      <w:pPr>
        <w:pStyle w:val="Prrafodelista"/>
        <w:numPr>
          <w:ilvl w:val="0"/>
          <w:numId w:val="12"/>
        </w:numPr>
        <w:rPr>
          <w:lang w:val="es-419"/>
        </w:rPr>
      </w:pPr>
      <w:r w:rsidRPr="00060F4A">
        <w:t xml:space="preserve">Se </w:t>
      </w:r>
      <w:r w:rsidR="00C41432">
        <w:t>tomó acciones frente</w:t>
      </w:r>
      <w:r w:rsidRPr="00060F4A">
        <w:t xml:space="preserve"> </w:t>
      </w:r>
      <w:r w:rsidR="00C41432">
        <w:t xml:space="preserve">al </w:t>
      </w:r>
      <w:r w:rsidRPr="00060F4A">
        <w:t>riesgo materializado</w:t>
      </w:r>
      <w:r w:rsidR="00CD2214">
        <w:t>s</w:t>
      </w:r>
      <w:r w:rsidRPr="00060F4A">
        <w:t xml:space="preserve"> </w:t>
      </w:r>
    </w:p>
    <w:p w:rsidR="00040646" w:rsidRPr="00060F4A" w:rsidRDefault="00040646" w:rsidP="003F48FC">
      <w:pPr>
        <w:pStyle w:val="Prrafodelista"/>
        <w:jc w:val="both"/>
        <w:rPr>
          <w:b/>
          <w:bCs/>
          <w:lang w:val="es-419"/>
        </w:rPr>
      </w:pPr>
    </w:p>
    <w:p w:rsidR="006854CB" w:rsidRDefault="00A664DC" w:rsidP="00BA64AC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Resultados y acciones a implementar </w:t>
      </w:r>
    </w:p>
    <w:p w:rsidR="00B3071C" w:rsidRDefault="00B3071C" w:rsidP="00B3071C">
      <w:pPr>
        <w:pStyle w:val="Prrafodelista"/>
        <w:jc w:val="both"/>
        <w:rPr>
          <w:b/>
          <w:bCs/>
        </w:rPr>
      </w:pPr>
    </w:p>
    <w:p w:rsidR="00B3071C" w:rsidRPr="00DB5DB5" w:rsidRDefault="00B3071C" w:rsidP="00B3071C">
      <w:pPr>
        <w:pStyle w:val="Prrafodelista"/>
        <w:numPr>
          <w:ilvl w:val="0"/>
          <w:numId w:val="16"/>
        </w:numPr>
        <w:jc w:val="both"/>
      </w:pPr>
      <w:r w:rsidRPr="00DB5DB5">
        <w:t xml:space="preserve">Asegurar un mayor involucramiento y conocimiento de los </w:t>
      </w:r>
      <w:r w:rsidR="008F7211" w:rsidRPr="00DB5DB5">
        <w:t xml:space="preserve">colaboradores </w:t>
      </w:r>
      <w:r w:rsidR="0032065B" w:rsidRPr="00DB5DB5">
        <w:t>responsables de ejecutar los controles</w:t>
      </w:r>
      <w:r w:rsidR="008F6478" w:rsidRPr="00DB5DB5">
        <w:t>, así como una mayor interacción con los profesionales enlace, que permita crear sinergia en los resultados.</w:t>
      </w:r>
    </w:p>
    <w:p w:rsidR="008F6478" w:rsidRDefault="008F6478" w:rsidP="00B3071C">
      <w:pPr>
        <w:pStyle w:val="Prrafodelista"/>
        <w:numPr>
          <w:ilvl w:val="0"/>
          <w:numId w:val="16"/>
        </w:numPr>
        <w:jc w:val="both"/>
      </w:pPr>
      <w:r w:rsidRPr="00DB5DB5">
        <w:t xml:space="preserve">Solicitar a la Oficina Asesora de Planeación </w:t>
      </w:r>
      <w:r w:rsidR="00B85B3B" w:rsidRPr="00DB5DB5">
        <w:t xml:space="preserve">sensibilizaciones para fortalecer los conocimientos en los profesionales nuevos </w:t>
      </w:r>
      <w:r w:rsidR="00DB5DB5" w:rsidRPr="00DB5DB5">
        <w:t xml:space="preserve">respecto a los lineamientos y metodología para la gestión del riesgo. </w:t>
      </w:r>
    </w:p>
    <w:p w:rsidR="00DB5DB5" w:rsidRPr="00DB5DB5" w:rsidRDefault="00B8549F" w:rsidP="00B3071C">
      <w:pPr>
        <w:pStyle w:val="Prrafodelista"/>
        <w:numPr>
          <w:ilvl w:val="0"/>
          <w:numId w:val="16"/>
        </w:numPr>
        <w:jc w:val="both"/>
      </w:pPr>
      <w:r>
        <w:t xml:space="preserve">Fortalecer el dinamismo para incluir o fortalecer controles en permitan reducir la posibilidad de materialización de riesgos, así como crear mejores planes para reducir su impacto. </w:t>
      </w:r>
    </w:p>
    <w:p w:rsidR="00D1422D" w:rsidRPr="00450534" w:rsidRDefault="00D1422D" w:rsidP="00D1422D">
      <w:pPr>
        <w:pStyle w:val="Prrafodelista"/>
        <w:jc w:val="both"/>
      </w:pPr>
    </w:p>
    <w:p w:rsidR="0081729A" w:rsidRPr="0098117F" w:rsidRDefault="0081729A" w:rsidP="00F8076E">
      <w:pPr>
        <w:jc w:val="both"/>
      </w:pPr>
      <w:r w:rsidRPr="0098117F">
        <w:t>OFICINA ASESORA DE PLANEACION</w:t>
      </w:r>
    </w:p>
    <w:p w:rsidR="00381DFA" w:rsidRPr="00381DFA" w:rsidRDefault="0032065B" w:rsidP="00381DFA">
      <w:pPr>
        <w:jc w:val="both"/>
        <w:rPr>
          <w:b/>
          <w:bCs/>
        </w:rPr>
      </w:pPr>
      <w:r>
        <w:t>JULIO</w:t>
      </w:r>
      <w:r w:rsidR="00A664DC">
        <w:t xml:space="preserve"> 2025</w:t>
      </w:r>
    </w:p>
    <w:sectPr w:rsidR="00381DFA" w:rsidRPr="00381D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BE" w:rsidRDefault="003444BE" w:rsidP="0081729A">
      <w:pPr>
        <w:spacing w:after="0" w:line="240" w:lineRule="auto"/>
      </w:pPr>
      <w:r>
        <w:separator/>
      </w:r>
    </w:p>
  </w:endnote>
  <w:endnote w:type="continuationSeparator" w:id="0">
    <w:p w:rsidR="003444BE" w:rsidRDefault="003444BE" w:rsidP="008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BE" w:rsidRDefault="003444BE" w:rsidP="0081729A">
      <w:pPr>
        <w:spacing w:after="0" w:line="240" w:lineRule="auto"/>
      </w:pPr>
      <w:r>
        <w:separator/>
      </w:r>
    </w:p>
  </w:footnote>
  <w:footnote w:type="continuationSeparator" w:id="0">
    <w:p w:rsidR="003444BE" w:rsidRDefault="003444BE" w:rsidP="0081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9A" w:rsidRDefault="0081729A">
    <w:pPr>
      <w:pStyle w:val="Encabezado"/>
    </w:pPr>
    <w:r>
      <w:t xml:space="preserve">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720543FA" wp14:editId="63C40649">
          <wp:extent cx="1054735" cy="640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A37"/>
    <w:multiLevelType w:val="multilevel"/>
    <w:tmpl w:val="58E24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BF6E76"/>
    <w:multiLevelType w:val="hybridMultilevel"/>
    <w:tmpl w:val="C47EC5E0"/>
    <w:lvl w:ilvl="0" w:tplc="58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782"/>
    <w:multiLevelType w:val="hybridMultilevel"/>
    <w:tmpl w:val="79B47E0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7E74"/>
    <w:multiLevelType w:val="hybridMultilevel"/>
    <w:tmpl w:val="E81AC8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0115"/>
    <w:multiLevelType w:val="hybridMultilevel"/>
    <w:tmpl w:val="E32C92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3A43"/>
    <w:multiLevelType w:val="hybridMultilevel"/>
    <w:tmpl w:val="53D237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51056"/>
    <w:multiLevelType w:val="hybridMultilevel"/>
    <w:tmpl w:val="CB503D3C"/>
    <w:lvl w:ilvl="0" w:tplc="795E7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81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6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C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4F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02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27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07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4A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522D20"/>
    <w:multiLevelType w:val="hybridMultilevel"/>
    <w:tmpl w:val="4BC88C7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DD907714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4007"/>
    <w:multiLevelType w:val="hybridMultilevel"/>
    <w:tmpl w:val="C6D698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A27D1"/>
    <w:multiLevelType w:val="multilevel"/>
    <w:tmpl w:val="529A4390"/>
    <w:lvl w:ilvl="0">
      <w:start w:val="9"/>
      <w:numFmt w:val="decimal"/>
      <w:lvlText w:val="%1"/>
      <w:lvlJc w:val="left"/>
      <w:pPr>
        <w:ind w:left="479" w:hanging="432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79" w:hanging="432"/>
        <w:jc w:val="right"/>
      </w:pPr>
      <w:rPr>
        <w:rFonts w:hint="default"/>
        <w:spacing w:val="0"/>
        <w:w w:val="97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9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3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13621FA"/>
    <w:multiLevelType w:val="hybridMultilevel"/>
    <w:tmpl w:val="55D41FD0"/>
    <w:lvl w:ilvl="0" w:tplc="EB34D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28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2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8E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EB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8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87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2B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E0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9E3175"/>
    <w:multiLevelType w:val="multilevel"/>
    <w:tmpl w:val="350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61A00"/>
    <w:multiLevelType w:val="hybridMultilevel"/>
    <w:tmpl w:val="367EECBA"/>
    <w:lvl w:ilvl="0" w:tplc="3A2640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641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8C6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8EB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EE8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231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6AE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218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605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42AC3"/>
    <w:multiLevelType w:val="hybridMultilevel"/>
    <w:tmpl w:val="72A23934"/>
    <w:lvl w:ilvl="0" w:tplc="C2A4AB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F666EC"/>
    <w:multiLevelType w:val="hybridMultilevel"/>
    <w:tmpl w:val="DDFE187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50DAF"/>
    <w:multiLevelType w:val="multilevel"/>
    <w:tmpl w:val="39863A42"/>
    <w:lvl w:ilvl="0">
      <w:start w:val="1"/>
      <w:numFmt w:val="decimal"/>
      <w:lvlText w:val="%1."/>
      <w:lvlJc w:val="left"/>
      <w:pPr>
        <w:ind w:left="618" w:hanging="361"/>
        <w:jc w:val="right"/>
      </w:pPr>
      <w:rPr>
        <w:rFonts w:hint="default"/>
        <w:spacing w:val="0"/>
        <w:w w:val="9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2" w:hanging="79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F291791"/>
    <w:multiLevelType w:val="hybridMultilevel"/>
    <w:tmpl w:val="8DB83A4A"/>
    <w:lvl w:ilvl="0" w:tplc="7A4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A2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E0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A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438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426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8F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0B3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2A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5"/>
  </w:num>
  <w:num w:numId="10">
    <w:abstractNumId w:val="2"/>
  </w:num>
  <w:num w:numId="11">
    <w:abstractNumId w:val="12"/>
  </w:num>
  <w:num w:numId="12">
    <w:abstractNumId w:val="1"/>
  </w:num>
  <w:num w:numId="13">
    <w:abstractNumId w:val="16"/>
  </w:num>
  <w:num w:numId="14">
    <w:abstractNumId w:val="10"/>
  </w:num>
  <w:num w:numId="15">
    <w:abstractNumId w:val="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81"/>
    <w:rsid w:val="00000458"/>
    <w:rsid w:val="00005E8A"/>
    <w:rsid w:val="00012790"/>
    <w:rsid w:val="00022416"/>
    <w:rsid w:val="00023ACB"/>
    <w:rsid w:val="00040646"/>
    <w:rsid w:val="00043089"/>
    <w:rsid w:val="00060F4A"/>
    <w:rsid w:val="0006131B"/>
    <w:rsid w:val="000742BD"/>
    <w:rsid w:val="00075D5D"/>
    <w:rsid w:val="0008171F"/>
    <w:rsid w:val="000855C9"/>
    <w:rsid w:val="000A0A12"/>
    <w:rsid w:val="000A6E02"/>
    <w:rsid w:val="000C2C9B"/>
    <w:rsid w:val="000C5E91"/>
    <w:rsid w:val="000C7B8A"/>
    <w:rsid w:val="000E1607"/>
    <w:rsid w:val="000E6C96"/>
    <w:rsid w:val="000F2F80"/>
    <w:rsid w:val="000F7370"/>
    <w:rsid w:val="00107CAD"/>
    <w:rsid w:val="0011240B"/>
    <w:rsid w:val="00112F27"/>
    <w:rsid w:val="00120638"/>
    <w:rsid w:val="00120947"/>
    <w:rsid w:val="0012550F"/>
    <w:rsid w:val="00130F54"/>
    <w:rsid w:val="00141E8B"/>
    <w:rsid w:val="001441FD"/>
    <w:rsid w:val="0014590E"/>
    <w:rsid w:val="0014784C"/>
    <w:rsid w:val="001609DE"/>
    <w:rsid w:val="00160F7D"/>
    <w:rsid w:val="00161936"/>
    <w:rsid w:val="0017376A"/>
    <w:rsid w:val="00191E48"/>
    <w:rsid w:val="001944C9"/>
    <w:rsid w:val="00194CEC"/>
    <w:rsid w:val="001B1306"/>
    <w:rsid w:val="001B634F"/>
    <w:rsid w:val="001D1E24"/>
    <w:rsid w:val="001D7B51"/>
    <w:rsid w:val="001E46F5"/>
    <w:rsid w:val="001F27A3"/>
    <w:rsid w:val="001F6FC7"/>
    <w:rsid w:val="001F7F65"/>
    <w:rsid w:val="00203F00"/>
    <w:rsid w:val="00216456"/>
    <w:rsid w:val="002325E3"/>
    <w:rsid w:val="00232A60"/>
    <w:rsid w:val="0023555A"/>
    <w:rsid w:val="0024484D"/>
    <w:rsid w:val="00247528"/>
    <w:rsid w:val="0025264D"/>
    <w:rsid w:val="002708D7"/>
    <w:rsid w:val="00285C06"/>
    <w:rsid w:val="002914A2"/>
    <w:rsid w:val="0029463E"/>
    <w:rsid w:val="00294FEA"/>
    <w:rsid w:val="002B3704"/>
    <w:rsid w:val="002C4452"/>
    <w:rsid w:val="002C7C1B"/>
    <w:rsid w:val="002D71EF"/>
    <w:rsid w:val="002F59DF"/>
    <w:rsid w:val="002F7B6E"/>
    <w:rsid w:val="0032065B"/>
    <w:rsid w:val="003212EA"/>
    <w:rsid w:val="003235F9"/>
    <w:rsid w:val="003255D5"/>
    <w:rsid w:val="00331E40"/>
    <w:rsid w:val="003444BE"/>
    <w:rsid w:val="00345082"/>
    <w:rsid w:val="003470FA"/>
    <w:rsid w:val="00381DFA"/>
    <w:rsid w:val="0038537C"/>
    <w:rsid w:val="00391B00"/>
    <w:rsid w:val="00395149"/>
    <w:rsid w:val="003A2635"/>
    <w:rsid w:val="003B586F"/>
    <w:rsid w:val="003C3176"/>
    <w:rsid w:val="003C4035"/>
    <w:rsid w:val="003C6200"/>
    <w:rsid w:val="003D6E35"/>
    <w:rsid w:val="003E7B05"/>
    <w:rsid w:val="003F1CDE"/>
    <w:rsid w:val="003F3096"/>
    <w:rsid w:val="003F48FC"/>
    <w:rsid w:val="003F5077"/>
    <w:rsid w:val="003F7831"/>
    <w:rsid w:val="004037F7"/>
    <w:rsid w:val="00405C5C"/>
    <w:rsid w:val="004067A8"/>
    <w:rsid w:val="00411068"/>
    <w:rsid w:val="004155E4"/>
    <w:rsid w:val="0042602B"/>
    <w:rsid w:val="00437345"/>
    <w:rsid w:val="00440B7A"/>
    <w:rsid w:val="004477AF"/>
    <w:rsid w:val="00450534"/>
    <w:rsid w:val="00456E58"/>
    <w:rsid w:val="00457DBA"/>
    <w:rsid w:val="00462EAA"/>
    <w:rsid w:val="0047103F"/>
    <w:rsid w:val="004723F2"/>
    <w:rsid w:val="00473231"/>
    <w:rsid w:val="004814A2"/>
    <w:rsid w:val="00487601"/>
    <w:rsid w:val="0049336A"/>
    <w:rsid w:val="00495C3D"/>
    <w:rsid w:val="00496447"/>
    <w:rsid w:val="004A0D4F"/>
    <w:rsid w:val="004A678D"/>
    <w:rsid w:val="004A72C3"/>
    <w:rsid w:val="004C784F"/>
    <w:rsid w:val="004D05CF"/>
    <w:rsid w:val="004D1350"/>
    <w:rsid w:val="004D31DE"/>
    <w:rsid w:val="004D5AD3"/>
    <w:rsid w:val="004F0AF0"/>
    <w:rsid w:val="0050212C"/>
    <w:rsid w:val="005054D5"/>
    <w:rsid w:val="00507D28"/>
    <w:rsid w:val="00523634"/>
    <w:rsid w:val="0052606F"/>
    <w:rsid w:val="005466CD"/>
    <w:rsid w:val="005546F2"/>
    <w:rsid w:val="005548F4"/>
    <w:rsid w:val="005641D6"/>
    <w:rsid w:val="00566FF0"/>
    <w:rsid w:val="00570C0B"/>
    <w:rsid w:val="0057218C"/>
    <w:rsid w:val="005770E6"/>
    <w:rsid w:val="005842B4"/>
    <w:rsid w:val="00591852"/>
    <w:rsid w:val="00594A61"/>
    <w:rsid w:val="005A4EF4"/>
    <w:rsid w:val="005B19A0"/>
    <w:rsid w:val="005B4105"/>
    <w:rsid w:val="005C1DF5"/>
    <w:rsid w:val="005C21B3"/>
    <w:rsid w:val="005D7202"/>
    <w:rsid w:val="005F35C6"/>
    <w:rsid w:val="00604DF9"/>
    <w:rsid w:val="00606C4F"/>
    <w:rsid w:val="006123CE"/>
    <w:rsid w:val="00647027"/>
    <w:rsid w:val="00660960"/>
    <w:rsid w:val="006637AC"/>
    <w:rsid w:val="0066649B"/>
    <w:rsid w:val="00667EF6"/>
    <w:rsid w:val="0067411B"/>
    <w:rsid w:val="00674D44"/>
    <w:rsid w:val="006854CB"/>
    <w:rsid w:val="00686199"/>
    <w:rsid w:val="00690ADF"/>
    <w:rsid w:val="00693203"/>
    <w:rsid w:val="006A536A"/>
    <w:rsid w:val="006A6349"/>
    <w:rsid w:val="006A64B8"/>
    <w:rsid w:val="006B4EC6"/>
    <w:rsid w:val="006C5951"/>
    <w:rsid w:val="006D0C9A"/>
    <w:rsid w:val="006D660F"/>
    <w:rsid w:val="006E6309"/>
    <w:rsid w:val="0070343B"/>
    <w:rsid w:val="00715426"/>
    <w:rsid w:val="007175FB"/>
    <w:rsid w:val="00722233"/>
    <w:rsid w:val="007452AC"/>
    <w:rsid w:val="00746669"/>
    <w:rsid w:val="00761144"/>
    <w:rsid w:val="00762B4A"/>
    <w:rsid w:val="00783750"/>
    <w:rsid w:val="00785531"/>
    <w:rsid w:val="007A7995"/>
    <w:rsid w:val="007A7F0E"/>
    <w:rsid w:val="007B02E0"/>
    <w:rsid w:val="007C1EA2"/>
    <w:rsid w:val="007C31AF"/>
    <w:rsid w:val="007D27B9"/>
    <w:rsid w:val="007D30E7"/>
    <w:rsid w:val="007E0561"/>
    <w:rsid w:val="007E18CC"/>
    <w:rsid w:val="007E4C08"/>
    <w:rsid w:val="007F1BFF"/>
    <w:rsid w:val="00804651"/>
    <w:rsid w:val="00811215"/>
    <w:rsid w:val="00812DB5"/>
    <w:rsid w:val="0081729A"/>
    <w:rsid w:val="008224EA"/>
    <w:rsid w:val="00824554"/>
    <w:rsid w:val="00832729"/>
    <w:rsid w:val="0083309D"/>
    <w:rsid w:val="00846B1D"/>
    <w:rsid w:val="00853906"/>
    <w:rsid w:val="00854164"/>
    <w:rsid w:val="0085681D"/>
    <w:rsid w:val="0086310F"/>
    <w:rsid w:val="008674AA"/>
    <w:rsid w:val="008751AF"/>
    <w:rsid w:val="00881A1D"/>
    <w:rsid w:val="0089571B"/>
    <w:rsid w:val="008B0875"/>
    <w:rsid w:val="008C77FA"/>
    <w:rsid w:val="008D37A9"/>
    <w:rsid w:val="008D53DD"/>
    <w:rsid w:val="008E3307"/>
    <w:rsid w:val="008F6478"/>
    <w:rsid w:val="008F7211"/>
    <w:rsid w:val="00902716"/>
    <w:rsid w:val="00903A5F"/>
    <w:rsid w:val="00906F11"/>
    <w:rsid w:val="0092077F"/>
    <w:rsid w:val="00933E2D"/>
    <w:rsid w:val="00933F04"/>
    <w:rsid w:val="0093615F"/>
    <w:rsid w:val="0094159F"/>
    <w:rsid w:val="009424A7"/>
    <w:rsid w:val="00950F81"/>
    <w:rsid w:val="00953D45"/>
    <w:rsid w:val="00954326"/>
    <w:rsid w:val="00957CDA"/>
    <w:rsid w:val="00974ECC"/>
    <w:rsid w:val="009765A3"/>
    <w:rsid w:val="00976D48"/>
    <w:rsid w:val="0098117F"/>
    <w:rsid w:val="009834E2"/>
    <w:rsid w:val="00985EA8"/>
    <w:rsid w:val="00995508"/>
    <w:rsid w:val="009A0F83"/>
    <w:rsid w:val="009A1E7E"/>
    <w:rsid w:val="009A2DBD"/>
    <w:rsid w:val="009A35B1"/>
    <w:rsid w:val="009A4D90"/>
    <w:rsid w:val="009A7744"/>
    <w:rsid w:val="009B4DB8"/>
    <w:rsid w:val="009B5858"/>
    <w:rsid w:val="009B5A1D"/>
    <w:rsid w:val="009B6BEF"/>
    <w:rsid w:val="009C2AD4"/>
    <w:rsid w:val="009E4912"/>
    <w:rsid w:val="009E4EE5"/>
    <w:rsid w:val="009E7C02"/>
    <w:rsid w:val="009F2A55"/>
    <w:rsid w:val="00A03AF2"/>
    <w:rsid w:val="00A23849"/>
    <w:rsid w:val="00A23FEC"/>
    <w:rsid w:val="00A24D25"/>
    <w:rsid w:val="00A304E8"/>
    <w:rsid w:val="00A31372"/>
    <w:rsid w:val="00A33AD4"/>
    <w:rsid w:val="00A33C6E"/>
    <w:rsid w:val="00A36F52"/>
    <w:rsid w:val="00A42348"/>
    <w:rsid w:val="00A5516B"/>
    <w:rsid w:val="00A64546"/>
    <w:rsid w:val="00A64787"/>
    <w:rsid w:val="00A66291"/>
    <w:rsid w:val="00A664DC"/>
    <w:rsid w:val="00A7187C"/>
    <w:rsid w:val="00A72218"/>
    <w:rsid w:val="00A844DB"/>
    <w:rsid w:val="00AB1BB2"/>
    <w:rsid w:val="00AC078C"/>
    <w:rsid w:val="00AC63BD"/>
    <w:rsid w:val="00AD1605"/>
    <w:rsid w:val="00AE0CDF"/>
    <w:rsid w:val="00AF0202"/>
    <w:rsid w:val="00AF7496"/>
    <w:rsid w:val="00B03019"/>
    <w:rsid w:val="00B07E8D"/>
    <w:rsid w:val="00B11BA2"/>
    <w:rsid w:val="00B163C7"/>
    <w:rsid w:val="00B3071C"/>
    <w:rsid w:val="00B30C1A"/>
    <w:rsid w:val="00B36A09"/>
    <w:rsid w:val="00B433E5"/>
    <w:rsid w:val="00B5529B"/>
    <w:rsid w:val="00B63BCF"/>
    <w:rsid w:val="00B80F9B"/>
    <w:rsid w:val="00B8549F"/>
    <w:rsid w:val="00B85B3B"/>
    <w:rsid w:val="00B86788"/>
    <w:rsid w:val="00B903C6"/>
    <w:rsid w:val="00B91C46"/>
    <w:rsid w:val="00B9220E"/>
    <w:rsid w:val="00B9331A"/>
    <w:rsid w:val="00B9480F"/>
    <w:rsid w:val="00BA6BEC"/>
    <w:rsid w:val="00BB5688"/>
    <w:rsid w:val="00BC0D49"/>
    <w:rsid w:val="00BD02D2"/>
    <w:rsid w:val="00BD4A0E"/>
    <w:rsid w:val="00BD5453"/>
    <w:rsid w:val="00BD6649"/>
    <w:rsid w:val="00BF33B4"/>
    <w:rsid w:val="00BF73DC"/>
    <w:rsid w:val="00C10A52"/>
    <w:rsid w:val="00C112BB"/>
    <w:rsid w:val="00C22D6B"/>
    <w:rsid w:val="00C337A8"/>
    <w:rsid w:val="00C41432"/>
    <w:rsid w:val="00C56870"/>
    <w:rsid w:val="00C6427E"/>
    <w:rsid w:val="00C70093"/>
    <w:rsid w:val="00C72125"/>
    <w:rsid w:val="00C76B22"/>
    <w:rsid w:val="00C77BD6"/>
    <w:rsid w:val="00CA0822"/>
    <w:rsid w:val="00CA45E3"/>
    <w:rsid w:val="00CB1B5C"/>
    <w:rsid w:val="00CB54FC"/>
    <w:rsid w:val="00CB67B1"/>
    <w:rsid w:val="00CB7E40"/>
    <w:rsid w:val="00CC0992"/>
    <w:rsid w:val="00CC3985"/>
    <w:rsid w:val="00CD2214"/>
    <w:rsid w:val="00CD2529"/>
    <w:rsid w:val="00CE4E31"/>
    <w:rsid w:val="00CF1B1B"/>
    <w:rsid w:val="00CF2D18"/>
    <w:rsid w:val="00CF61F1"/>
    <w:rsid w:val="00CF7294"/>
    <w:rsid w:val="00D00C21"/>
    <w:rsid w:val="00D054AC"/>
    <w:rsid w:val="00D1422D"/>
    <w:rsid w:val="00D15275"/>
    <w:rsid w:val="00D3318B"/>
    <w:rsid w:val="00D33B1F"/>
    <w:rsid w:val="00D4134C"/>
    <w:rsid w:val="00D45AF3"/>
    <w:rsid w:val="00D5002B"/>
    <w:rsid w:val="00D6435B"/>
    <w:rsid w:val="00D64DA2"/>
    <w:rsid w:val="00D672ED"/>
    <w:rsid w:val="00D74939"/>
    <w:rsid w:val="00D7634E"/>
    <w:rsid w:val="00D774D9"/>
    <w:rsid w:val="00D803BD"/>
    <w:rsid w:val="00DA1EF1"/>
    <w:rsid w:val="00DB5DB5"/>
    <w:rsid w:val="00DC1CA9"/>
    <w:rsid w:val="00DC41FC"/>
    <w:rsid w:val="00DD4ED0"/>
    <w:rsid w:val="00DD54AE"/>
    <w:rsid w:val="00DE4798"/>
    <w:rsid w:val="00DE4C5B"/>
    <w:rsid w:val="00DF19A2"/>
    <w:rsid w:val="00DF4771"/>
    <w:rsid w:val="00E12A1E"/>
    <w:rsid w:val="00E158AC"/>
    <w:rsid w:val="00E21DB4"/>
    <w:rsid w:val="00E21E25"/>
    <w:rsid w:val="00E3098C"/>
    <w:rsid w:val="00E33507"/>
    <w:rsid w:val="00E43472"/>
    <w:rsid w:val="00E43A6B"/>
    <w:rsid w:val="00E46EDD"/>
    <w:rsid w:val="00E52CAC"/>
    <w:rsid w:val="00E53093"/>
    <w:rsid w:val="00E60D76"/>
    <w:rsid w:val="00E639EA"/>
    <w:rsid w:val="00E666B9"/>
    <w:rsid w:val="00E66C6A"/>
    <w:rsid w:val="00E70519"/>
    <w:rsid w:val="00E7175C"/>
    <w:rsid w:val="00E7406B"/>
    <w:rsid w:val="00E8190A"/>
    <w:rsid w:val="00E85EC9"/>
    <w:rsid w:val="00E93B08"/>
    <w:rsid w:val="00EA447B"/>
    <w:rsid w:val="00EA66D6"/>
    <w:rsid w:val="00EB0F27"/>
    <w:rsid w:val="00EB19D2"/>
    <w:rsid w:val="00EB4435"/>
    <w:rsid w:val="00EC0983"/>
    <w:rsid w:val="00ED0313"/>
    <w:rsid w:val="00ED3DB7"/>
    <w:rsid w:val="00EE712B"/>
    <w:rsid w:val="00EF2203"/>
    <w:rsid w:val="00F0175B"/>
    <w:rsid w:val="00F160C1"/>
    <w:rsid w:val="00F20FCF"/>
    <w:rsid w:val="00F22864"/>
    <w:rsid w:val="00F36B14"/>
    <w:rsid w:val="00F45D5E"/>
    <w:rsid w:val="00F50F0B"/>
    <w:rsid w:val="00F57294"/>
    <w:rsid w:val="00F7176D"/>
    <w:rsid w:val="00F7414F"/>
    <w:rsid w:val="00F74626"/>
    <w:rsid w:val="00F76799"/>
    <w:rsid w:val="00F8076E"/>
    <w:rsid w:val="00F80924"/>
    <w:rsid w:val="00FA0CA8"/>
    <w:rsid w:val="00FB722C"/>
    <w:rsid w:val="00FD5EF9"/>
    <w:rsid w:val="00FE54B2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56920"/>
  <w15:chartTrackingRefBased/>
  <w15:docId w15:val="{6E296444-0FB7-4FDD-8D9F-878DC15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236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29A"/>
  </w:style>
  <w:style w:type="paragraph" w:styleId="Piedepgina">
    <w:name w:val="footer"/>
    <w:basedOn w:val="Normal"/>
    <w:link w:val="Piedepgina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29A"/>
  </w:style>
  <w:style w:type="character" w:styleId="Hipervnculo">
    <w:name w:val="Hyperlink"/>
    <w:basedOn w:val="Fuentedeprrafopredeter"/>
    <w:uiPriority w:val="99"/>
    <w:unhideWhenUsed/>
    <w:rsid w:val="0081729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946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463E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7A7F0E"/>
    <w:pPr>
      <w:widowControl w:val="0"/>
      <w:autoSpaceDE w:val="0"/>
      <w:autoSpaceDN w:val="0"/>
      <w:spacing w:after="0" w:line="240" w:lineRule="auto"/>
      <w:ind w:left="932" w:right="1250"/>
      <w:jc w:val="center"/>
    </w:pPr>
    <w:rPr>
      <w:rFonts w:ascii="Arial MT" w:eastAsia="Arial MT" w:hAnsi="Arial MT" w:cs="Arial MT"/>
      <w:kern w:val="0"/>
      <w:sz w:val="48"/>
      <w:szCs w:val="48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7A7F0E"/>
    <w:rPr>
      <w:rFonts w:ascii="Arial MT" w:eastAsia="Arial MT" w:hAnsi="Arial MT" w:cs="Arial MT"/>
      <w:kern w:val="0"/>
      <w:sz w:val="48"/>
      <w:szCs w:val="48"/>
      <w:lang w:val="es-ES"/>
      <w14:ligatures w14:val="none"/>
    </w:rPr>
  </w:style>
  <w:style w:type="paragraph" w:customStyle="1" w:styleId="gmail-msolistparagraph">
    <w:name w:val="gmail-msolistparagraph"/>
    <w:basedOn w:val="Normal"/>
    <w:rsid w:val="009765A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val="es-419"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542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9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5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2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4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2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3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rd.gov.co/transparencia-acceso-informacion-publica/planeacion-presupuesto-informes/plan-de-accion/programa-de-transparencia-y-etica-publ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</cp:revision>
  <dcterms:created xsi:type="dcterms:W3CDTF">2025-08-18T05:07:00Z</dcterms:created>
  <dcterms:modified xsi:type="dcterms:W3CDTF">2025-08-18T05:09:00Z</dcterms:modified>
</cp:coreProperties>
</file>