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67"/>
        <w:gridCol w:w="5387"/>
        <w:tblGridChange w:id="0">
          <w:tblGrid>
            <w:gridCol w:w="3667"/>
            <w:gridCol w:w="5387"/>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2">
            <w:pPr>
              <w:pBdr>
                <w:top w:space="0" w:sz="0" w:val="nil"/>
                <w:left w:space="0" w:sz="0" w:val="nil"/>
                <w:bottom w:space="0" w:sz="0" w:val="nil"/>
                <w:right w:space="0" w:sz="0" w:val="nil"/>
                <w:between w:space="0" w:sz="0" w:val="nil"/>
              </w:pBdr>
              <w:rPr>
                <w:color w:val="000000"/>
              </w:rPr>
            </w:pPr>
            <w:r w:rsidDel="00000000" w:rsidR="00000000" w:rsidRPr="00000000">
              <w:rPr>
                <w:rtl w:val="0"/>
              </w:rPr>
              <w:t xml:space="preserve">AUDITORÍA</w:t>
            </w:r>
            <w:r w:rsidDel="00000000" w:rsidR="00000000" w:rsidRPr="00000000">
              <w:rPr>
                <w:rtl w:val="0"/>
              </w:rPr>
            </w:r>
          </w:p>
        </w:tc>
        <w:tc>
          <w:tcPr>
            <w:vAlign w:val="center"/>
          </w:tcPr>
          <w:p w:rsidR="00000000" w:rsidDel="00000000" w:rsidP="00000000" w:rsidRDefault="00000000" w:rsidRPr="00000000" w14:paraId="00000003">
            <w:pPr>
              <w:tabs>
                <w:tab w:val="left" w:leader="none" w:pos="1125"/>
              </w:tabs>
              <w:jc w:val="center"/>
              <w:rPr>
                <w:rFonts w:ascii="Arial" w:cs="Arial" w:eastAsia="Arial" w:hAnsi="Arial"/>
                <w:b w:val="1"/>
              </w:rPr>
            </w:pPr>
            <w:r w:rsidDel="00000000" w:rsidR="00000000" w:rsidRPr="00000000">
              <w:rPr>
                <w:rFonts w:ascii="Arial" w:cs="Arial" w:eastAsia="Arial" w:hAnsi="Arial"/>
                <w:rtl w:val="0"/>
              </w:rPr>
              <w:t xml:space="preserve">Proceso Adquisición de Bienes y Servicios (Decreto 371-2010)</w:t>
            </w:r>
            <w:r w:rsidDel="00000000" w:rsidR="00000000" w:rsidRPr="00000000">
              <w:rPr>
                <w:rtl w:val="0"/>
              </w:rPr>
            </w:r>
          </w:p>
        </w:tc>
      </w:tr>
    </w:tbl>
    <w:p w:rsidR="00000000" w:rsidDel="00000000" w:rsidP="00000000" w:rsidRDefault="00000000" w:rsidRPr="00000000" w14:paraId="00000004">
      <w:pPr>
        <w:tabs>
          <w:tab w:val="left" w:leader="none" w:pos="1125"/>
        </w:tabs>
        <w:spacing w:after="0" w:line="240" w:lineRule="auto"/>
        <w:jc w:val="both"/>
        <w:rPr>
          <w:rFonts w:ascii="Arial" w:cs="Arial" w:eastAsia="Arial" w:hAnsi="Arial"/>
          <w:b w:val="1"/>
        </w:rPr>
      </w:pPr>
      <w:r w:rsidDel="00000000" w:rsidR="00000000" w:rsidRPr="00000000">
        <w:rPr>
          <w:rtl w:val="0"/>
        </w:rPr>
      </w:r>
    </w:p>
    <w:tbl>
      <w:tblPr>
        <w:tblStyle w:val="Table2"/>
        <w:tblW w:w="4673.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850"/>
        <w:tblGridChange w:id="0">
          <w:tblGrid>
            <w:gridCol w:w="3823"/>
            <w:gridCol w:w="850"/>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5">
            <w:pPr>
              <w:tabs>
                <w:tab w:val="left" w:leader="none" w:pos="1125"/>
              </w:tabs>
              <w:rPr>
                <w:rFonts w:ascii="Arial" w:cs="Arial" w:eastAsia="Arial" w:hAnsi="Arial"/>
                <w:b w:val="1"/>
              </w:rPr>
            </w:pPr>
            <w:r w:rsidDel="00000000" w:rsidR="00000000" w:rsidRPr="00000000">
              <w:rPr>
                <w:rFonts w:ascii="Arial" w:cs="Arial" w:eastAsia="Arial" w:hAnsi="Arial"/>
                <w:b w:val="1"/>
                <w:rtl w:val="0"/>
              </w:rPr>
              <w:t xml:space="preserve">PRUEBA DE AUDITORÍA No.</w:t>
            </w:r>
          </w:p>
        </w:tc>
        <w:tc>
          <w:tcPr>
            <w:vAlign w:val="center"/>
          </w:tcPr>
          <w:p w:rsidR="00000000" w:rsidDel="00000000" w:rsidP="00000000" w:rsidRDefault="00000000" w:rsidRPr="00000000" w14:paraId="00000006">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6</w:t>
            </w:r>
          </w:p>
        </w:tc>
      </w:tr>
    </w:tbl>
    <w:p w:rsidR="00000000" w:rsidDel="00000000" w:rsidP="00000000" w:rsidRDefault="00000000" w:rsidRPr="00000000" w14:paraId="00000007">
      <w:pPr>
        <w:tabs>
          <w:tab w:val="left" w:leader="none" w:pos="1125"/>
        </w:tabs>
        <w:spacing w:after="0" w:line="240" w:lineRule="auto"/>
        <w:rPr>
          <w:rFonts w:ascii="Arial" w:cs="Arial" w:eastAsia="Arial" w:hAnsi="Arial"/>
          <w:b w:val="1"/>
        </w:rPr>
      </w:pPr>
      <w:r w:rsidDel="00000000" w:rsidR="00000000" w:rsidRPr="00000000">
        <w:rPr>
          <w:rtl w:val="0"/>
        </w:rPr>
      </w:r>
    </w:p>
    <w:tbl>
      <w:tblPr>
        <w:tblStyle w:val="Table3"/>
        <w:tblW w:w="954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105"/>
        <w:gridCol w:w="6615"/>
        <w:gridCol w:w="105"/>
        <w:tblGridChange w:id="0">
          <w:tblGrid>
            <w:gridCol w:w="2715"/>
            <w:gridCol w:w="105"/>
            <w:gridCol w:w="6615"/>
            <w:gridCol w:w="105"/>
          </w:tblGrid>
        </w:tblGridChange>
      </w:tblGrid>
      <w:tr>
        <w:trPr>
          <w:cantSplit w:val="0"/>
          <w:trHeight w:val="510" w:hRule="atLeast"/>
          <w:tblHeader w:val="0"/>
        </w:trPr>
        <w:tc>
          <w:tcPr>
            <w:shd w:fill="d9d9d9" w:val="clear"/>
            <w:vAlign w:val="center"/>
          </w:tcPr>
          <w:p w:rsidR="00000000" w:rsidDel="00000000" w:rsidP="00000000" w:rsidRDefault="00000000" w:rsidRPr="00000000" w14:paraId="00000008">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Auditor responsable</w:t>
            </w:r>
          </w:p>
        </w:tc>
        <w:tc>
          <w:tcPr>
            <w:gridSpan w:val="2"/>
            <w:vAlign w:val="center"/>
          </w:tcPr>
          <w:p w:rsidR="00000000" w:rsidDel="00000000" w:rsidP="00000000" w:rsidRDefault="00000000" w:rsidRPr="00000000" w14:paraId="00000009">
            <w:pPr>
              <w:tabs>
                <w:tab w:val="left" w:leader="none" w:pos="1125"/>
              </w:tabs>
              <w:jc w:val="both"/>
              <w:rPr>
                <w:rFonts w:ascii="Arial" w:cs="Arial" w:eastAsia="Arial" w:hAnsi="Arial"/>
              </w:rPr>
            </w:pPr>
            <w:r w:rsidDel="00000000" w:rsidR="00000000" w:rsidRPr="00000000">
              <w:rPr>
                <w:rFonts w:ascii="Arial" w:cs="Arial" w:eastAsia="Arial" w:hAnsi="Arial"/>
                <w:rtl w:val="0"/>
              </w:rPr>
              <w:t xml:space="preserve">Equipo Auditor</w:t>
            </w:r>
          </w:p>
        </w:tc>
      </w:tr>
      <w:tr>
        <w:trPr>
          <w:cantSplit w:val="0"/>
          <w:trHeight w:val="510" w:hRule="atLeast"/>
          <w:tblHeader w:val="0"/>
        </w:trPr>
        <w:tc>
          <w:tcPr>
            <w:gridSpan w:val="2"/>
          </w:tcPr>
          <w:p w:rsidR="00000000" w:rsidDel="00000000" w:rsidP="00000000" w:rsidRDefault="00000000" w:rsidRPr="00000000" w14:paraId="0000000B">
            <w:pPr>
              <w:widowControl w:val="0"/>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Objetivo de la prueba</w:t>
            </w:r>
          </w:p>
        </w:tc>
        <w:tc>
          <w:tcPr>
            <w:gridSpan w:val="2"/>
            <w:vAlign w:val="center"/>
          </w:tcPr>
          <w:p w:rsidR="00000000" w:rsidDel="00000000" w:rsidP="00000000" w:rsidRDefault="00000000" w:rsidRPr="00000000" w14:paraId="0000000E">
            <w:pPr>
              <w:tabs>
                <w:tab w:val="left" w:leader="none" w:pos="1125"/>
              </w:tabs>
              <w:ind w:left="140" w:firstLine="0"/>
              <w:jc w:val="both"/>
              <w:rPr>
                <w:rFonts w:ascii="Arial" w:cs="Arial" w:eastAsia="Arial" w:hAnsi="Arial"/>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Comprobar los mecanismos al interior del IDRD para el aprovechamiento de las experiencias exitosas y problemáticas encontradas en los procesos de contratación y si se imparten directrices a partir de los resultados.</w:t>
            </w:r>
          </w:p>
          <w:p w:rsidR="00000000" w:rsidDel="00000000" w:rsidP="00000000" w:rsidRDefault="00000000" w:rsidRPr="00000000" w14:paraId="0000000F">
            <w:pPr>
              <w:tabs>
                <w:tab w:val="left" w:leader="none" w:pos="1125"/>
              </w:tabs>
              <w:jc w:val="both"/>
              <w:rPr>
                <w:rFonts w:ascii="Arial" w:cs="Arial" w:eastAsia="Arial" w:hAnsi="Arial"/>
              </w:rPr>
            </w:pP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11">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Periodo de aplicación</w:t>
            </w:r>
          </w:p>
        </w:tc>
        <w:tc>
          <w:tcPr>
            <w:gridSpan w:val="2"/>
            <w:vAlign w:val="center"/>
          </w:tcPr>
          <w:p w:rsidR="00000000" w:rsidDel="00000000" w:rsidP="00000000" w:rsidRDefault="00000000" w:rsidRPr="00000000" w14:paraId="00000013">
            <w:pPr>
              <w:tabs>
                <w:tab w:val="left" w:leader="none" w:pos="1125"/>
              </w:tabs>
              <w:jc w:val="both"/>
              <w:rPr>
                <w:rFonts w:ascii="Arial" w:cs="Arial" w:eastAsia="Arial" w:hAnsi="Arial"/>
              </w:rPr>
            </w:pPr>
            <w:r w:rsidDel="00000000" w:rsidR="00000000" w:rsidRPr="00000000">
              <w:rPr>
                <w:rFonts w:ascii="Arial" w:cs="Arial" w:eastAsia="Arial" w:hAnsi="Arial"/>
                <w:rtl w:val="0"/>
              </w:rPr>
              <w:t xml:space="preserve">01 de julio de 2022 al 31 de diciembre de 2022 y 01 de enero de 2023 al 30 de junio de 2023.</w:t>
            </w:r>
          </w:p>
          <w:p w:rsidR="00000000" w:rsidDel="00000000" w:rsidP="00000000" w:rsidRDefault="00000000" w:rsidRPr="00000000" w14:paraId="00000014">
            <w:pPr>
              <w:tabs>
                <w:tab w:val="left" w:leader="none" w:pos="1125"/>
              </w:tabs>
              <w:jc w:val="both"/>
              <w:rPr>
                <w:rFonts w:ascii="Arial" w:cs="Arial" w:eastAsia="Arial" w:hAnsi="Arial"/>
                <w:b w:val="1"/>
                <w:color w:val="808080"/>
              </w:rPr>
            </w:pP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16">
            <w:pPr>
              <w:widowControl w:val="0"/>
              <w:spacing w:line="276" w:lineRule="auto"/>
              <w:rPr>
                <w:rFonts w:ascii="Arial" w:cs="Arial" w:eastAsia="Arial" w:hAnsi="Arial"/>
                <w:b w:val="1"/>
                <w:color w:val="808080"/>
              </w:rPr>
            </w:pPr>
            <w:r w:rsidDel="00000000" w:rsidR="00000000" w:rsidRPr="00000000">
              <w:rPr>
                <w:rtl w:val="0"/>
              </w:rPr>
            </w:r>
          </w:p>
          <w:p w:rsidR="00000000" w:rsidDel="00000000" w:rsidP="00000000" w:rsidRDefault="00000000" w:rsidRPr="00000000" w14:paraId="00000017">
            <w:pPr>
              <w:tabs>
                <w:tab w:val="left" w:leader="none" w:pos="1125"/>
              </w:tabs>
              <w:jc w:val="both"/>
              <w:rPr>
                <w:rFonts w:ascii="Arial" w:cs="Arial" w:eastAsia="Arial" w:hAnsi="Arial"/>
                <w:b w:val="1"/>
              </w:rPr>
            </w:pPr>
            <w:r w:rsidDel="00000000" w:rsidR="00000000" w:rsidRPr="00000000">
              <w:rPr>
                <w:rFonts w:ascii="Arial" w:cs="Arial" w:eastAsia="Arial" w:hAnsi="Arial"/>
                <w:b w:val="1"/>
                <w:rtl w:val="0"/>
              </w:rPr>
              <w:t xml:space="preserve">Criterios de auditoría que se verificarán con la aplicación de la prueba</w:t>
            </w:r>
          </w:p>
        </w:tc>
        <w:tc>
          <w:tcPr>
            <w:gridSpan w:val="2"/>
            <w:vAlign w:val="center"/>
          </w:tcPr>
          <w:p w:rsidR="00000000" w:rsidDel="00000000" w:rsidP="00000000" w:rsidRDefault="00000000" w:rsidRPr="00000000" w14:paraId="00000019">
            <w:pPr>
              <w:jc w:val="both"/>
              <w:rPr>
                <w:rFonts w:ascii="Arial" w:cs="Arial" w:eastAsia="Arial" w:hAnsi="Arial"/>
                <w:b w:val="1"/>
                <w:color w:val="808080"/>
              </w:rPr>
            </w:pPr>
            <w:r w:rsidDel="00000000" w:rsidR="00000000" w:rsidRPr="00000000">
              <w:rPr>
                <w:rFonts w:ascii="Arial" w:cs="Arial" w:eastAsia="Arial" w:hAnsi="Arial"/>
                <w:sz w:val="24"/>
                <w:szCs w:val="24"/>
                <w:rtl w:val="0"/>
              </w:rPr>
              <w:t xml:space="preserve">El IDRD debe contar con mecanismos para la divulgación y el aprovechamiento de las experiencias exitosas y problemáticas encontradas en los procesos de contratación, a efectos de que se imparten directrices a partir de los resultados.</w:t>
            </w:r>
            <w:r w:rsidDel="00000000" w:rsidR="00000000" w:rsidRPr="00000000">
              <w:rPr>
                <w:rtl w:val="0"/>
              </w:rPr>
            </w:r>
          </w:p>
        </w:tc>
      </w:tr>
    </w:tb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1125"/>
        </w:tabs>
        <w:spacing w:after="0" w:line="240" w:lineRule="auto"/>
        <w:ind w:left="720" w:firstLine="0"/>
        <w:rPr>
          <w:rFonts w:ascii="Arial" w:cs="Arial" w:eastAsia="Arial" w:hAnsi="Arial"/>
          <w:color w:val="000000"/>
        </w:rPr>
      </w:pPr>
      <w:r w:rsidDel="00000000" w:rsidR="00000000" w:rsidRPr="00000000">
        <w:rPr>
          <w:rtl w:val="0"/>
        </w:rPr>
      </w:r>
    </w:p>
    <w:tbl>
      <w:tblPr>
        <w:tblStyle w:val="Table4"/>
        <w:tblW w:w="905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54"/>
        <w:tblGridChange w:id="0">
          <w:tblGrid>
            <w:gridCol w:w="9054"/>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1C">
            <w:pPr>
              <w:tabs>
                <w:tab w:val="left" w:leader="none" w:pos="1125"/>
              </w:tabs>
              <w:jc w:val="center"/>
              <w:rPr>
                <w:rFonts w:ascii="Arial" w:cs="Arial" w:eastAsia="Arial" w:hAnsi="Arial"/>
                <w:b w:val="1"/>
              </w:rPr>
            </w:pPr>
            <w:r w:rsidDel="00000000" w:rsidR="00000000" w:rsidRPr="00000000">
              <w:rPr>
                <w:rFonts w:ascii="Arial" w:cs="Arial" w:eastAsia="Arial" w:hAnsi="Arial"/>
                <w:b w:val="1"/>
                <w:rtl w:val="0"/>
              </w:rPr>
              <w:t xml:space="preserve">DESCRIPCIÓN DE LA PRUEBA</w:t>
            </w:r>
          </w:p>
          <w:p w:rsidR="00000000" w:rsidDel="00000000" w:rsidP="00000000" w:rsidRDefault="00000000" w:rsidRPr="00000000" w14:paraId="0000001D">
            <w:pPr>
              <w:tabs>
                <w:tab w:val="left" w:leader="none" w:pos="1125"/>
              </w:tabs>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Conforme a la información aportada por la Oficina de Planeación y la Subdirección de Gestión Contractual, se verifica el contenido de las actas soporte de los comités financiero y de contratación realizados en la vigencia del período auditado</w:t>
            </w:r>
          </w:p>
        </w:tc>
      </w:tr>
    </w:tbl>
    <w:p w:rsidR="00000000" w:rsidDel="00000000" w:rsidP="00000000" w:rsidRDefault="00000000" w:rsidRPr="00000000" w14:paraId="0000001E">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spacing w:after="0" w:line="240" w:lineRule="auto"/>
        <w:jc w:val="both"/>
        <w:rPr>
          <w:rFonts w:ascii="Arial" w:cs="Arial" w:eastAsia="Arial" w:hAnsi="Arial"/>
          <w:b w:val="1"/>
        </w:rPr>
      </w:pPr>
      <w:r w:rsidDel="00000000" w:rsidR="00000000" w:rsidRPr="00000000">
        <w:rPr>
          <w:rtl w:val="0"/>
        </w:rPr>
      </w:r>
    </w:p>
    <w:tbl>
      <w:tblPr>
        <w:tblStyle w:val="Table5"/>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20">
            <w:pPr>
              <w:jc w:val="center"/>
              <w:rPr>
                <w:rFonts w:ascii="Arial" w:cs="Arial" w:eastAsia="Arial" w:hAnsi="Arial"/>
                <w:b w:val="1"/>
              </w:rPr>
            </w:pPr>
            <w:r w:rsidDel="00000000" w:rsidR="00000000" w:rsidRPr="00000000">
              <w:rPr>
                <w:rFonts w:ascii="Arial" w:cs="Arial" w:eastAsia="Arial" w:hAnsi="Arial"/>
                <w:b w:val="1"/>
                <w:rtl w:val="0"/>
              </w:rPr>
              <w:t xml:space="preserve">RESULTADOS Y ANÁLISIS DE LA PRUEBA APLICADA</w:t>
            </w:r>
          </w:p>
        </w:tc>
      </w:tr>
    </w:tbl>
    <w:p w:rsidR="00000000" w:rsidDel="00000000" w:rsidP="00000000" w:rsidRDefault="00000000" w:rsidRPr="00000000" w14:paraId="00000021">
      <w:pPr>
        <w:tabs>
          <w:tab w:val="left" w:leader="none" w:pos="1125"/>
        </w:tabs>
        <w:jc w:val="both"/>
        <w:rPr>
          <w:rFonts w:ascii="Arial" w:cs="Arial" w:eastAsia="Arial" w:hAnsi="Arial"/>
        </w:rPr>
      </w:pPr>
      <w:r w:rsidDel="00000000" w:rsidR="00000000" w:rsidRPr="00000000">
        <w:rPr>
          <w:rtl w:val="0"/>
        </w:rPr>
      </w:r>
    </w:p>
    <w:p w:rsidR="00000000" w:rsidDel="00000000" w:rsidP="00000000" w:rsidRDefault="00000000" w:rsidRPr="00000000" w14:paraId="00000022">
      <w:pPr>
        <w:tabs>
          <w:tab w:val="left" w:leader="none" w:pos="1125"/>
        </w:tabs>
        <w:jc w:val="both"/>
        <w:rPr>
          <w:rFonts w:ascii="Arial" w:cs="Arial" w:eastAsia="Arial" w:hAnsi="Arial"/>
        </w:rPr>
      </w:pPr>
      <w:r w:rsidDel="00000000" w:rsidR="00000000" w:rsidRPr="00000000">
        <w:rPr>
          <w:rFonts w:ascii="Arial" w:cs="Arial" w:eastAsia="Arial" w:hAnsi="Arial"/>
          <w:rtl w:val="0"/>
        </w:rPr>
        <w:t xml:space="preserve">Se procedió a revisar las actas proferidas durante la vigencia del 01 de julio de 2022 al 31 de diciembre de 2022 y 01 de enero de 2023 al 30 de junio de 2023, por parte del Comité de Contratación del IDRD</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la cuales fueron compartidas por parte de la Subdirección de Contratación en formato audio y Acta y orden del día en formato Word; de la información que fue compartida se relacionan 43 archivos que comprenden las actas efectuadas durante la vigencia referida para los comités ordinarios y extraordinarios, de lo anterior se procedió a tomar un muestreo selectivo  de 12 actas a efectos verificar un acta para cada mes de la vigencia. Se pone de presente que para la vigencia 2023 I, no se encuentra registro de realización de comités de contratación en el mes de febrero, por lo que se tomarán dos muestras del mes de marzo, a saber:     </w:t>
      </w:r>
    </w:p>
    <w:p w:rsidR="00000000" w:rsidDel="00000000" w:rsidP="00000000" w:rsidRDefault="00000000" w:rsidRPr="00000000" w14:paraId="00000023">
      <w:pPr>
        <w:spacing w:after="240" w:before="240" w:line="240" w:lineRule="auto"/>
        <w:jc w:val="center"/>
        <w:rPr>
          <w:rFonts w:ascii="Arial" w:cs="Arial" w:eastAsia="Arial" w:hAnsi="Arial"/>
        </w:rPr>
      </w:pPr>
      <w:r w:rsidDel="00000000" w:rsidR="00000000" w:rsidRPr="00000000">
        <w:rPr>
          <w:rFonts w:ascii="Arial" w:cs="Arial" w:eastAsia="Arial" w:hAnsi="Arial"/>
          <w:rtl w:val="0"/>
        </w:rPr>
        <w:t xml:space="preserve">Tabla No. 10 - Actas Comité de Contratación segundo semestre 2022</w:t>
      </w:r>
    </w:p>
    <w:tbl>
      <w:tblPr>
        <w:tblStyle w:val="Table6"/>
        <w:tblW w:w="88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0"/>
        <w:gridCol w:w="1701"/>
        <w:gridCol w:w="5591"/>
        <w:tblGridChange w:id="0">
          <w:tblGrid>
            <w:gridCol w:w="1550"/>
            <w:gridCol w:w="1701"/>
            <w:gridCol w:w="5591"/>
          </w:tblGrid>
        </w:tblGridChange>
      </w:tblGrid>
      <w:tr>
        <w:trPr>
          <w:cantSplit w:val="0"/>
          <w:trHeight w:val="500" w:hRule="atLeast"/>
          <w:tblHeader w:val="0"/>
        </w:trPr>
        <w:tc>
          <w:tcPr>
            <w:tcBorders>
              <w:top w:color="000000" w:space="0" w:sz="8" w:val="single"/>
              <w:left w:color="000000" w:space="0" w:sz="8" w:val="single"/>
              <w:bottom w:color="000000" w:space="0" w:sz="4"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24">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Mes</w:t>
            </w:r>
          </w:p>
        </w:tc>
        <w:tc>
          <w:tcPr>
            <w:tcBorders>
              <w:top w:color="000000" w:space="0" w:sz="8" w:val="single"/>
              <w:left w:color="000000" w:space="0" w:sz="0" w:val="nil"/>
              <w:bottom w:color="000000" w:space="0" w:sz="4"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25">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Acta Analizada</w:t>
            </w:r>
          </w:p>
        </w:tc>
        <w:tc>
          <w:tcPr>
            <w:tcBorders>
              <w:top w:color="000000" w:space="0" w:sz="8" w:val="single"/>
              <w:left w:color="000000" w:space="0" w:sz="0" w:val="nil"/>
              <w:bottom w:color="000000" w:space="0" w:sz="4"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26">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Análisis OCI</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27">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Julio</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28">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ordinario del 27 de julio de 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29">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relacionan información para discusión del proceso de selección para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222222"/>
                <w:rtl w:val="0"/>
              </w:rPr>
              <w:t xml:space="preserve">Realizar por el sistema de precios unitarios fijos las obras y actividades complementarias necesarias para ejecutar el plan de restauración y recuperación (prr) y la construcción del parque Buenavista el porvenir, código IDRD 19-347 fase II”</w:t>
            </w: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2A">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Agosto</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2B">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ordinario del 24 de agosto de 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2C">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relacionan información para discusión del proceso de selección para </w:t>
            </w:r>
            <w:r w:rsidDel="00000000" w:rsidR="00000000" w:rsidRPr="00000000">
              <w:rPr>
                <w:rFonts w:ascii="Arial" w:cs="Arial" w:eastAsia="Arial" w:hAnsi="Arial"/>
                <w:i w:val="1"/>
                <w:rtl w:val="0"/>
              </w:rPr>
              <w:t xml:space="preserve">“Contratar el suministro de juegos, elementos de consumo y material didáctico, requerido para la ejecución de actividades adelantadas por el IDRD”</w:t>
            </w: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2D">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Septiembre</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2E">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ordinario del 14 de septiembre de 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2F">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 información para discusión de los siguientes contratos interadministrativos:</w:t>
            </w:r>
          </w:p>
          <w:p w:rsidR="00000000" w:rsidDel="00000000" w:rsidP="00000000" w:rsidRDefault="00000000" w:rsidRPr="00000000" w14:paraId="00000030">
            <w:pPr>
              <w:spacing w:after="0" w:line="240" w:lineRule="auto"/>
              <w:ind w:right="4"/>
              <w:jc w:val="both"/>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40" w:lineRule="auto"/>
              <w:ind w:right="4"/>
              <w:jc w:val="both"/>
              <w:rPr>
                <w:rFonts w:ascii="Arial" w:cs="Arial" w:eastAsia="Arial" w:hAnsi="Arial"/>
                <w:i w:val="1"/>
              </w:rPr>
            </w:pPr>
            <w:r w:rsidDel="00000000" w:rsidR="00000000" w:rsidRPr="00000000">
              <w:rPr>
                <w:rFonts w:ascii="Arial" w:cs="Arial" w:eastAsia="Arial" w:hAnsi="Arial"/>
                <w:i w:val="1"/>
                <w:rtl w:val="0"/>
              </w:rPr>
              <w:t xml:space="preserve">“Prestar Servicio de mantenimiento integral de zonas verdes del Parque Regional La Florida y la sede administrativa del IDRD”</w:t>
            </w:r>
          </w:p>
          <w:p w:rsidR="00000000" w:rsidDel="00000000" w:rsidP="00000000" w:rsidRDefault="00000000" w:rsidRPr="00000000" w14:paraId="00000032">
            <w:pPr>
              <w:spacing w:after="0" w:line="240" w:lineRule="auto"/>
              <w:ind w:right="4"/>
              <w:jc w:val="both"/>
              <w:rPr>
                <w:rFonts w:ascii="Arial" w:cs="Arial" w:eastAsia="Arial" w:hAnsi="Arial"/>
                <w:i w:val="1"/>
              </w:rPr>
            </w:pPr>
            <w:r w:rsidDel="00000000" w:rsidR="00000000" w:rsidRPr="00000000">
              <w:rPr>
                <w:rtl w:val="0"/>
              </w:rPr>
            </w:r>
          </w:p>
          <w:p w:rsidR="00000000" w:rsidDel="00000000" w:rsidP="00000000" w:rsidRDefault="00000000" w:rsidRPr="00000000" w14:paraId="00000033">
            <w:pPr>
              <w:spacing w:after="0" w:line="240" w:lineRule="auto"/>
              <w:ind w:right="4"/>
              <w:jc w:val="both"/>
              <w:rPr>
                <w:rFonts w:ascii="Arial" w:cs="Arial" w:eastAsia="Arial" w:hAnsi="Arial"/>
              </w:rPr>
            </w:pPr>
            <w:r w:rsidDel="00000000" w:rsidR="00000000" w:rsidRPr="00000000">
              <w:rPr>
                <w:rFonts w:ascii="Arial" w:cs="Arial" w:eastAsia="Arial" w:hAnsi="Arial"/>
                <w:i w:val="1"/>
                <w:rtl w:val="0"/>
              </w:rPr>
              <w:t xml:space="preserve">“Prestar los servicios integrales de central de medios para realizar la divulgación y promoción de las actividades, planes, programas, proyectos y oferta de servicios del instituto distrital de recreación y deporte”</w:t>
            </w: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34">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Octubre</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35">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extraordinario del 11 de octubre de 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36">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 información para discusión de los siguientes procesos de régimen especial:</w:t>
            </w:r>
          </w:p>
          <w:p w:rsidR="00000000" w:rsidDel="00000000" w:rsidP="00000000" w:rsidRDefault="00000000" w:rsidRPr="00000000" w14:paraId="00000037">
            <w:pPr>
              <w:spacing w:after="0" w:line="240" w:lineRule="auto"/>
              <w:ind w:right="4"/>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after="0" w:line="240" w:lineRule="auto"/>
              <w:ind w:right="4"/>
              <w:jc w:val="both"/>
              <w:rPr>
                <w:rFonts w:ascii="Arial" w:cs="Arial" w:eastAsia="Arial" w:hAnsi="Arial"/>
                <w:i w:val="1"/>
              </w:rPr>
            </w:pPr>
            <w:r w:rsidDel="00000000" w:rsidR="00000000" w:rsidRPr="00000000">
              <w:rPr>
                <w:rFonts w:ascii="Arial" w:cs="Arial" w:eastAsia="Arial" w:hAnsi="Arial"/>
                <w:rtl w:val="0"/>
              </w:rPr>
              <w:t xml:space="preserve">Convenio de cooperación internacional: </w:t>
            </w:r>
            <w:r w:rsidDel="00000000" w:rsidR="00000000" w:rsidRPr="00000000">
              <w:rPr>
                <w:rFonts w:ascii="Arial" w:cs="Arial" w:eastAsia="Arial" w:hAnsi="Arial"/>
                <w:i w:val="1"/>
                <w:rtl w:val="0"/>
              </w:rPr>
              <w:t xml:space="preserve">“Aunar esfuerzos técnicos, operativos y financieros para fortalecer las capacidades del IDRD, a través del Desarrollo de una estrategia sistematizada de medición en programas que aporten al desarrollo sostenible y a su internacionalización”</w:t>
            </w:r>
          </w:p>
          <w:p w:rsidR="00000000" w:rsidDel="00000000" w:rsidP="00000000" w:rsidRDefault="00000000" w:rsidRPr="00000000" w14:paraId="00000039">
            <w:pPr>
              <w:spacing w:after="0" w:line="240" w:lineRule="auto"/>
              <w:ind w:right="4"/>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Convenio de asociación </w:t>
            </w:r>
            <w:r w:rsidDel="00000000" w:rsidR="00000000" w:rsidRPr="00000000">
              <w:rPr>
                <w:rFonts w:ascii="Arial" w:cs="Arial" w:eastAsia="Arial" w:hAnsi="Arial"/>
                <w:i w:val="1"/>
                <w:rtl w:val="0"/>
              </w:rPr>
              <w:t xml:space="preserve">“Aunar esfuerzos con la Federación Colombiana de Levantamiento de Pesas para la realización del CAMPEONATO MUNDIAL IWF 2022”</w:t>
            </w:r>
            <w:r w:rsidDel="00000000" w:rsidR="00000000" w:rsidRPr="00000000">
              <w:rPr>
                <w:rtl w:val="0"/>
              </w:rPr>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3B">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Noviembre</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3C">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extraordinario del 15 de noviembre de 2022</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3D">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 información para discusión del siguiente proceso de contratación con proveedor exclusivo:</w:t>
            </w:r>
          </w:p>
          <w:p w:rsidR="00000000" w:rsidDel="00000000" w:rsidP="00000000" w:rsidRDefault="00000000" w:rsidRPr="00000000" w14:paraId="0000003E">
            <w:pPr>
              <w:spacing w:after="0" w:line="240" w:lineRule="auto"/>
              <w:ind w:right="4"/>
              <w:jc w:val="both"/>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40" w:lineRule="auto"/>
              <w:ind w:right="4"/>
              <w:jc w:val="both"/>
              <w:rPr>
                <w:rFonts w:ascii="Arial" w:cs="Arial" w:eastAsia="Arial" w:hAnsi="Arial"/>
                <w:i w:val="1"/>
              </w:rPr>
            </w:pPr>
            <w:r w:rsidDel="00000000" w:rsidR="00000000" w:rsidRPr="00000000">
              <w:rPr>
                <w:rFonts w:ascii="Arial" w:cs="Arial" w:eastAsia="Arial" w:hAnsi="Arial"/>
                <w:i w:val="1"/>
                <w:rtl w:val="0"/>
              </w:rPr>
              <w:t xml:space="preserve">“Contratar la prestación de los servicios para el montaje, logística y escenarios requeridos para la organización y realización del campeonato mundial IWF 2022”</w:t>
            </w:r>
          </w:p>
        </w:tc>
      </w:tr>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40">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Diciembre</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41">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extraordinario del 23 de diciembre de 2023</w:t>
            </w:r>
          </w:p>
        </w:tc>
        <w:tc>
          <w:tcPr>
            <w:tcBorders>
              <w:top w:color="000000" w:space="0" w:sz="4" w:val="single"/>
              <w:left w:color="000000" w:space="0" w:sz="4" w:val="single"/>
              <w:bottom w:color="000000" w:space="0" w:sz="4" w:val="single"/>
              <w:right w:color="000000" w:space="0" w:sz="4" w:val="single"/>
            </w:tcBorders>
            <w:tcMar>
              <w:top w:w="100.0" w:type="dxa"/>
              <w:left w:w="80.0" w:type="dxa"/>
              <w:bottom w:w="100.0" w:type="dxa"/>
              <w:right w:w="80.0" w:type="dxa"/>
            </w:tcMar>
          </w:tcPr>
          <w:p w:rsidR="00000000" w:rsidDel="00000000" w:rsidP="00000000" w:rsidRDefault="00000000" w:rsidRPr="00000000" w14:paraId="00000042">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 información para discusión del siguiente proceso de contratación con Entidad sin ánimo de lucro:</w:t>
            </w:r>
          </w:p>
          <w:p w:rsidR="00000000" w:rsidDel="00000000" w:rsidP="00000000" w:rsidRDefault="00000000" w:rsidRPr="00000000" w14:paraId="00000043">
            <w:pPr>
              <w:spacing w:after="0" w:line="240" w:lineRule="auto"/>
              <w:ind w:right="4"/>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240" w:lineRule="auto"/>
              <w:ind w:right="4"/>
              <w:jc w:val="both"/>
              <w:rPr>
                <w:rFonts w:ascii="Arial" w:cs="Arial" w:eastAsia="Arial" w:hAnsi="Arial"/>
                <w:i w:val="1"/>
              </w:rPr>
            </w:pPr>
            <w:r w:rsidDel="00000000" w:rsidR="00000000" w:rsidRPr="00000000">
              <w:rPr>
                <w:rFonts w:ascii="Arial" w:cs="Arial" w:eastAsia="Arial" w:hAnsi="Arial"/>
                <w:i w:val="1"/>
                <w:rtl w:val="0"/>
              </w:rPr>
              <w:t xml:space="preserve">“Apoyar a la federación colombiana de futbol para la realización del campeonato sudamericano sub-20 masculino”.</w:t>
            </w:r>
          </w:p>
          <w:p w:rsidR="00000000" w:rsidDel="00000000" w:rsidP="00000000" w:rsidRDefault="00000000" w:rsidRPr="00000000" w14:paraId="00000045">
            <w:pPr>
              <w:spacing w:after="0" w:line="240" w:lineRule="auto"/>
              <w:ind w:right="4"/>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Adicionalmente, se llevó al comité la aprobación del Plan Anual de Adquisiciones 2023Consolidado</w:t>
            </w:r>
          </w:p>
        </w:tc>
      </w:tr>
    </w:tbl>
    <w:p w:rsidR="00000000" w:rsidDel="00000000" w:rsidP="00000000" w:rsidRDefault="00000000" w:rsidRPr="00000000" w14:paraId="00000047">
      <w:pPr>
        <w:spacing w:after="24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Información extraída Actas de comité de contratación</w:t>
      </w:r>
    </w:p>
    <w:p w:rsidR="00000000" w:rsidDel="00000000" w:rsidP="00000000" w:rsidRDefault="00000000" w:rsidRPr="00000000" w14:paraId="00000048">
      <w:pPr>
        <w:tabs>
          <w:tab w:val="left" w:leader="none" w:pos="1125"/>
        </w:tabs>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after="240" w:before="240" w:line="240" w:lineRule="auto"/>
        <w:jc w:val="center"/>
        <w:rPr>
          <w:rFonts w:ascii="Arial" w:cs="Arial" w:eastAsia="Arial" w:hAnsi="Arial"/>
        </w:rPr>
      </w:pPr>
      <w:r w:rsidDel="00000000" w:rsidR="00000000" w:rsidRPr="00000000">
        <w:rPr>
          <w:rFonts w:ascii="Arial" w:cs="Arial" w:eastAsia="Arial" w:hAnsi="Arial"/>
          <w:rtl w:val="0"/>
        </w:rPr>
        <w:t xml:space="preserve">Tabla No. 11 - Actas Comité de Contratación primer semestre 2023</w:t>
      </w:r>
    </w:p>
    <w:tbl>
      <w:tblPr>
        <w:tblStyle w:val="Table7"/>
        <w:tblW w:w="884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50"/>
        <w:gridCol w:w="1701"/>
        <w:gridCol w:w="5591"/>
        <w:tblGridChange w:id="0">
          <w:tblGrid>
            <w:gridCol w:w="1550"/>
            <w:gridCol w:w="1701"/>
            <w:gridCol w:w="5591"/>
          </w:tblGrid>
        </w:tblGridChange>
      </w:tblGrid>
      <w:tr>
        <w:trPr>
          <w:cantSplit w:val="0"/>
          <w:trHeight w:val="500"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4A">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Mes</w:t>
            </w:r>
          </w:p>
        </w:tc>
        <w:tc>
          <w:tcPr>
            <w:tcBorders>
              <w:top w:color="000000" w:space="0" w:sz="8" w:val="single"/>
              <w:left w:color="000000" w:space="0" w:sz="0" w:val="nil"/>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4B">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Acta Analizada</w:t>
            </w:r>
          </w:p>
        </w:tc>
        <w:tc>
          <w:tcPr>
            <w:tcBorders>
              <w:top w:color="000000" w:space="0" w:sz="8" w:val="single"/>
              <w:left w:color="000000" w:space="0" w:sz="0" w:val="nil"/>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04C">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Análisis OCI</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4D">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Enero</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4E">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ordinario del 18 de enero de 2023</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4F">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relacionan información para discusión del proceso de selección para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000000"/>
                <w:rtl w:val="0"/>
              </w:rPr>
              <w:t xml:space="preserve">Contratar pólizas que conforman el programa de seguros de la entidad requerido para la adecuada protección de los bienes e intereses patrimoniales del Instituto Distrital de Recreación y Deporte – IDRD, así́ como de aquellos por los que sea o fuere legalmente responsable o le corresponda asegurar en virtud de disposición legal o contractual”</w:t>
            </w:r>
            <w:r w:rsidDel="00000000" w:rsidR="00000000" w:rsidRPr="00000000">
              <w:rPr>
                <w:rtl w:val="0"/>
              </w:rPr>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0">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Febrero</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1">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No se evidencia realización del Comité de Contratación</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2">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No se evidencia realización del Comité de Contratación</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3">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Marzo</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4">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ordinario del 01 de marzo de 2023</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5">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 información respecto proceso contractual a través de la TVEC para: </w:t>
            </w:r>
            <w:r w:rsidDel="00000000" w:rsidR="00000000" w:rsidRPr="00000000">
              <w:rPr>
                <w:rFonts w:ascii="Arial" w:cs="Arial" w:eastAsia="Arial" w:hAnsi="Arial"/>
                <w:i w:val="1"/>
                <w:rtl w:val="0"/>
              </w:rPr>
              <w:t xml:space="preserve">“Renovar la suscripción de las licencias y servicios Microsoft que posee el Instituto Distrital de Recreación y Deporte – IDRD – mediante el Instrumento de Agregación de Demanda CCE-139-IAD-2020”</w:t>
            </w:r>
            <w:r w:rsidDel="00000000" w:rsidR="00000000" w:rsidRPr="00000000">
              <w:rPr>
                <w:rtl w:val="0"/>
              </w:rPr>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6">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Marzo</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7">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ordinario del 23 de marzo de 2023</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8">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 información respecto proceso contractual para: </w:t>
            </w:r>
            <w:r w:rsidDel="00000000" w:rsidR="00000000" w:rsidRPr="00000000">
              <w:rPr>
                <w:rFonts w:ascii="Arial" w:cs="Arial" w:eastAsia="Arial" w:hAnsi="Arial"/>
                <w:i w:val="1"/>
                <w:rtl w:val="0"/>
              </w:rPr>
              <w:t xml:space="preserve">“Apoyar la realización del torneo internacional de tenis femenino categoría WTA 250, Copa COLSANITAS 2023”</w:t>
            </w:r>
            <w:r w:rsidDel="00000000" w:rsidR="00000000" w:rsidRPr="00000000">
              <w:rPr>
                <w:rtl w:val="0"/>
              </w:rPr>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9">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Abril</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A">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extraordinario del 26 de abril de 2023</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5B">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 información respecto proceso contractual para las siguientes contrataciones directas </w:t>
            </w:r>
          </w:p>
          <w:p w:rsidR="00000000" w:rsidDel="00000000" w:rsidP="00000000" w:rsidRDefault="00000000" w:rsidRPr="00000000" w14:paraId="0000005C">
            <w:pPr>
              <w:spacing w:after="0" w:line="240" w:lineRule="auto"/>
              <w:ind w:right="4"/>
              <w:jc w:val="both"/>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240" w:lineRule="auto"/>
              <w:ind w:right="4"/>
              <w:jc w:val="both"/>
              <w:rPr>
                <w:rFonts w:ascii="Arial" w:cs="Arial" w:eastAsia="Arial" w:hAnsi="Arial"/>
                <w:i w:val="1"/>
              </w:rPr>
            </w:pPr>
            <w:r w:rsidDel="00000000" w:rsidR="00000000" w:rsidRPr="00000000">
              <w:rPr>
                <w:rFonts w:ascii="Arial" w:cs="Arial" w:eastAsia="Arial" w:hAnsi="Arial"/>
                <w:rtl w:val="0"/>
              </w:rPr>
              <w:t xml:space="preserve">CONTRATACIÓN POR BOLSA MERCANTIL</w:t>
            </w:r>
            <w:r w:rsidDel="00000000" w:rsidR="00000000" w:rsidRPr="00000000">
              <w:rPr>
                <w:rFonts w:ascii="Arial" w:cs="Arial" w:eastAsia="Arial" w:hAnsi="Arial"/>
                <w:i w:val="1"/>
                <w:rtl w:val="0"/>
              </w:rPr>
              <w:t xml:space="preserve"> “Prestación del servicio de transporte terrestre automotor especial para las dependencias de la entidad que se requieran”, para lo cual se remite la carpeta con la respectiva documentación”.</w:t>
            </w:r>
          </w:p>
          <w:p w:rsidR="00000000" w:rsidDel="00000000" w:rsidP="00000000" w:rsidRDefault="00000000" w:rsidRPr="00000000" w14:paraId="0000005E">
            <w:pPr>
              <w:spacing w:after="0" w:line="240" w:lineRule="auto"/>
              <w:ind w:right="4"/>
              <w:jc w:val="both"/>
              <w:rPr>
                <w:rFonts w:ascii="Arial" w:cs="Arial" w:eastAsia="Arial" w:hAnsi="Arial"/>
                <w:i w:val="1"/>
              </w:rPr>
            </w:pPr>
            <w:r w:rsidDel="00000000" w:rsidR="00000000" w:rsidRPr="00000000">
              <w:rPr>
                <w:rtl w:val="0"/>
              </w:rPr>
            </w:r>
          </w:p>
          <w:p w:rsidR="00000000" w:rsidDel="00000000" w:rsidP="00000000" w:rsidRDefault="00000000" w:rsidRPr="00000000" w14:paraId="0000005F">
            <w:pPr>
              <w:spacing w:after="0" w:line="240" w:lineRule="auto"/>
              <w:ind w:right="4"/>
              <w:jc w:val="both"/>
              <w:rPr>
                <w:rFonts w:ascii="Arial" w:cs="Arial" w:eastAsia="Arial" w:hAnsi="Arial"/>
              </w:rPr>
            </w:pPr>
            <w:r w:rsidDel="00000000" w:rsidR="00000000" w:rsidRPr="00000000">
              <w:rPr>
                <w:rFonts w:ascii="Arial" w:cs="Arial" w:eastAsia="Arial" w:hAnsi="Arial"/>
                <w:i w:val="1"/>
                <w:rtl w:val="0"/>
              </w:rPr>
              <w:t xml:space="preserve">“Prestar sus servicios de transporte Aéreo en rutas operadas por Satena y gestión de tiquetes Aéreos con diferentes operadores y otros servicios conexos que se requieran para los v juegos parapanamericanos juveniles Bogotá́ 2023 y personal autorizado de los organismos nacionales e internacionales que hacen parte de la misión del evento”</w:t>
            </w:r>
            <w:r w:rsidDel="00000000" w:rsidR="00000000" w:rsidRPr="00000000">
              <w:rPr>
                <w:rtl w:val="0"/>
              </w:rPr>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0">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Mayo</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1">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extraordinario del 31 de mayo de 2023</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vAlign w:val="center"/>
          </w:tcPr>
          <w:p w:rsidR="00000000" w:rsidDel="00000000" w:rsidP="00000000" w:rsidRDefault="00000000" w:rsidRPr="00000000" w14:paraId="00000062">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 información respecto proceso contractual para: </w:t>
            </w:r>
            <w:r w:rsidDel="00000000" w:rsidR="00000000" w:rsidRPr="00000000">
              <w:rPr>
                <w:rFonts w:ascii="Arial" w:cs="Arial" w:eastAsia="Arial" w:hAnsi="Arial"/>
                <w:i w:val="1"/>
                <w:rtl w:val="0"/>
              </w:rPr>
              <w:t xml:space="preserve">“</w:t>
            </w:r>
            <w:r w:rsidDel="00000000" w:rsidR="00000000" w:rsidRPr="00000000">
              <w:rPr>
                <w:rFonts w:ascii="Arial" w:cs="Arial" w:eastAsia="Arial" w:hAnsi="Arial"/>
                <w:i w:val="1"/>
                <w:color w:val="000000"/>
                <w:rtl w:val="0"/>
              </w:rPr>
              <w:t xml:space="preserve">Contratar las obras y actividades complementarias del centro de alto rendimiento en el marco de la manzana del cuidado del porvenir (Gibraltar), en la localidad de Kennedy en Bogotá”</w:t>
            </w:r>
            <w:r w:rsidDel="00000000" w:rsidR="00000000" w:rsidRPr="00000000">
              <w:rPr>
                <w:rtl w:val="0"/>
              </w:rPr>
            </w:r>
          </w:p>
        </w:tc>
      </w:tr>
      <w:tr>
        <w:trPr>
          <w:cantSplit w:val="0"/>
          <w:trHeight w:val="980"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3">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Junio</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4">
            <w:pPr>
              <w:spacing w:after="0" w:line="240" w:lineRule="auto"/>
              <w:ind w:right="4"/>
              <w:jc w:val="center"/>
              <w:rPr>
                <w:rFonts w:ascii="Arial" w:cs="Arial" w:eastAsia="Arial" w:hAnsi="Arial"/>
              </w:rPr>
            </w:pPr>
            <w:r w:rsidDel="00000000" w:rsidR="00000000" w:rsidRPr="00000000">
              <w:rPr>
                <w:rFonts w:ascii="Arial" w:cs="Arial" w:eastAsia="Arial" w:hAnsi="Arial"/>
                <w:rtl w:val="0"/>
              </w:rPr>
              <w:t xml:space="preserve">Comité ordinario del 23 de junio de 2023</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065">
            <w:pPr>
              <w:spacing w:after="0" w:line="240" w:lineRule="auto"/>
              <w:ind w:right="4"/>
              <w:jc w:val="both"/>
              <w:rPr>
                <w:rFonts w:ascii="Arial" w:cs="Arial" w:eastAsia="Arial" w:hAnsi="Arial"/>
              </w:rPr>
            </w:pPr>
            <w:r w:rsidDel="00000000" w:rsidR="00000000" w:rsidRPr="00000000">
              <w:rPr>
                <w:rFonts w:ascii="Arial" w:cs="Arial" w:eastAsia="Arial" w:hAnsi="Arial"/>
                <w:rtl w:val="0"/>
              </w:rPr>
              <w:t xml:space="preserve">Se relaciona información para discusión de los siguientes procesos contractuales: </w:t>
            </w:r>
          </w:p>
          <w:p w:rsidR="00000000" w:rsidDel="00000000" w:rsidP="00000000" w:rsidRDefault="00000000" w:rsidRPr="00000000" w14:paraId="00000066">
            <w:pPr>
              <w:spacing w:after="0" w:line="240" w:lineRule="auto"/>
              <w:ind w:right="4"/>
              <w:jc w:val="both"/>
              <w:rPr>
                <w:rFonts w:ascii="Arial" w:cs="Arial" w:eastAsia="Arial" w:hAnsi="Arial"/>
                <w:i w:val="1"/>
              </w:rPr>
            </w:pPr>
            <w:r w:rsidDel="00000000" w:rsidR="00000000" w:rsidRPr="00000000">
              <w:rPr>
                <w:rtl w:val="0"/>
              </w:rPr>
            </w:r>
          </w:p>
          <w:p w:rsidR="00000000" w:rsidDel="00000000" w:rsidP="00000000" w:rsidRDefault="00000000" w:rsidRPr="00000000" w14:paraId="00000067">
            <w:pPr>
              <w:spacing w:after="0" w:line="240" w:lineRule="auto"/>
              <w:ind w:right="4"/>
              <w:jc w:val="both"/>
              <w:rPr>
                <w:rFonts w:ascii="Arial" w:cs="Arial" w:eastAsia="Arial" w:hAnsi="Arial"/>
                <w:i w:val="1"/>
              </w:rPr>
            </w:pPr>
            <w:r w:rsidDel="00000000" w:rsidR="00000000" w:rsidRPr="00000000">
              <w:rPr>
                <w:rFonts w:ascii="Arial" w:cs="Arial" w:eastAsia="Arial" w:hAnsi="Arial"/>
                <w:i w:val="1"/>
                <w:rtl w:val="0"/>
              </w:rPr>
              <w:t xml:space="preserve">“Contratar por el sistema de precios unitarios fijos las obras del parque lineal ambiental correspondientes a la unidad de paisaje 3”</w:t>
            </w:r>
          </w:p>
          <w:p w:rsidR="00000000" w:rsidDel="00000000" w:rsidP="00000000" w:rsidRDefault="00000000" w:rsidRPr="00000000" w14:paraId="00000068">
            <w:pPr>
              <w:spacing w:after="0" w:line="240" w:lineRule="auto"/>
              <w:ind w:right="4"/>
              <w:jc w:val="both"/>
              <w:rPr>
                <w:rFonts w:ascii="Arial" w:cs="Arial" w:eastAsia="Arial" w:hAnsi="Arial"/>
                <w:i w:val="1"/>
              </w:rPr>
            </w:pPr>
            <w:r w:rsidDel="00000000" w:rsidR="00000000" w:rsidRPr="00000000">
              <w:rPr>
                <w:rtl w:val="0"/>
              </w:rPr>
            </w:r>
          </w:p>
          <w:p w:rsidR="00000000" w:rsidDel="00000000" w:rsidP="00000000" w:rsidRDefault="00000000" w:rsidRPr="00000000" w14:paraId="00000069">
            <w:pPr>
              <w:spacing w:after="0" w:line="240" w:lineRule="auto"/>
              <w:ind w:right="4"/>
              <w:jc w:val="both"/>
              <w:rPr>
                <w:rFonts w:ascii="Arial" w:cs="Arial" w:eastAsia="Arial" w:hAnsi="Arial"/>
              </w:rPr>
            </w:pPr>
            <w:r w:rsidDel="00000000" w:rsidR="00000000" w:rsidRPr="00000000">
              <w:rPr>
                <w:rFonts w:ascii="Arial" w:cs="Arial" w:eastAsia="Arial" w:hAnsi="Arial"/>
                <w:i w:val="1"/>
                <w:rtl w:val="0"/>
              </w:rPr>
              <w:t xml:space="preserve">“Prestar sus servicios de transporte aéreo en rutas operadas por Satena y gestión de tiquetes aéreos con diferentes operadores y otros servicios conexos que se requieran para los deportistas, delegaciones y personal autorizado, que representen a Bogotá en los XXII juegos deportivos nacionales y vi juegos paranacionales 2023”</w:t>
            </w:r>
            <w:r w:rsidDel="00000000" w:rsidR="00000000" w:rsidRPr="00000000">
              <w:rPr>
                <w:rtl w:val="0"/>
              </w:rPr>
            </w:r>
          </w:p>
        </w:tc>
      </w:tr>
    </w:tbl>
    <w:p w:rsidR="00000000" w:rsidDel="00000000" w:rsidP="00000000" w:rsidRDefault="00000000" w:rsidRPr="00000000" w14:paraId="0000006A">
      <w:pPr>
        <w:spacing w:after="0" w:before="240"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6B">
      <w:pPr>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Como se puede observar para las actas revisadas, no se contempló un espacio de retroalimentación respecto de los aspectos que fueron o no exitosos en los temas contractuales, puesto que la información contenida en dichas actas se refiere a diferentes aspectos relacionados con la contratación, tales como inicio de procesos, evaluaciones definitivas, adiciones a contratos y respuestas a observaciones a pliegos definitivos entre otros.</w:t>
      </w:r>
    </w:p>
    <w:p w:rsidR="00000000" w:rsidDel="00000000" w:rsidP="00000000" w:rsidRDefault="00000000" w:rsidRPr="00000000" w14:paraId="0000006C">
      <w:pPr>
        <w:spacing w:after="0" w:before="240" w:line="276" w:lineRule="auto"/>
        <w:jc w:val="both"/>
        <w:rPr>
          <w:rFonts w:ascii="Arial" w:cs="Arial" w:eastAsia="Arial" w:hAnsi="Arial"/>
          <w:color w:val="006699"/>
          <w:highlight w:val="white"/>
        </w:rPr>
      </w:pPr>
      <w:r w:rsidDel="00000000" w:rsidR="00000000" w:rsidRPr="00000000">
        <w:rPr>
          <w:rFonts w:ascii="Arial" w:cs="Arial" w:eastAsia="Arial" w:hAnsi="Arial"/>
          <w:rtl w:val="0"/>
        </w:rPr>
        <w:t xml:space="preserve">De otra parte, se le solicitó a la Subdirección Administrativa y Financiera, copia de las actas del Comité Financiero, de la anterior solicitud la SAF, la cual compartió doce (12) actas correspondientes a los Comités Financieros realizados, durante el periodo comprendido entre julio de 2022 a diciembre de 2022 y enero a junio de 2023, en las cuales se presentó información relacionada con la actividad contractual que se gestiona por las distintas áreas del Instituto, la cual se sintetiza en la siguiente tabla:</w:t>
      </w:r>
      <w:r w:rsidDel="00000000" w:rsidR="00000000" w:rsidRPr="00000000">
        <w:rPr>
          <w:rFonts w:ascii="Arial" w:cs="Arial" w:eastAsia="Arial" w:hAnsi="Arial"/>
          <w:color w:val="006699"/>
          <w:highlight w:val="white"/>
          <w:rtl w:val="0"/>
        </w:rPr>
        <w:t xml:space="preserve"> </w:t>
      </w:r>
    </w:p>
    <w:p w:rsidR="00000000" w:rsidDel="00000000" w:rsidP="00000000" w:rsidRDefault="00000000" w:rsidRPr="00000000" w14:paraId="0000006D">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Tabla No. 12 - Actas Comité Financiero IDRD segundo semestre 2022</w:t>
      </w:r>
    </w:p>
    <w:tbl>
      <w:tblPr>
        <w:tblStyle w:val="Table8"/>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3"/>
        <w:gridCol w:w="1427"/>
        <w:gridCol w:w="6438"/>
        <w:tblGridChange w:id="0">
          <w:tblGrid>
            <w:gridCol w:w="973"/>
            <w:gridCol w:w="1427"/>
            <w:gridCol w:w="6438"/>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06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Acta</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06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Fecha</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070">
            <w:pPr>
              <w:spacing w:after="0" w:line="240" w:lineRule="auto"/>
              <w:ind w:left="-760" w:firstLine="0"/>
              <w:jc w:val="center"/>
              <w:rPr>
                <w:rFonts w:ascii="Arial" w:cs="Arial" w:eastAsia="Arial" w:hAnsi="Arial"/>
              </w:rPr>
            </w:pPr>
            <w:r w:rsidDel="00000000" w:rsidR="00000000" w:rsidRPr="00000000">
              <w:rPr>
                <w:rFonts w:ascii="Arial" w:cs="Arial" w:eastAsia="Arial" w:hAnsi="Arial"/>
                <w:rtl w:val="0"/>
              </w:rPr>
              <w:t xml:space="preserve">Tema</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06-2022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06 de julio de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240" w:lineRule="auto"/>
              <w:ind w:right="-227"/>
              <w:jc w:val="both"/>
              <w:rPr>
                <w:rFonts w:ascii="Arial" w:cs="Arial" w:eastAsia="Arial" w:hAnsi="Arial"/>
              </w:rPr>
            </w:pPr>
            <w:r w:rsidDel="00000000" w:rsidR="00000000" w:rsidRPr="00000000">
              <w:rPr>
                <w:rFonts w:ascii="Arial" w:cs="Arial" w:eastAsia="Arial" w:hAnsi="Arial"/>
                <w:rtl w:val="0"/>
              </w:rPr>
              <w:t xml:space="preserve">Se realiza informe Plan Anual de Adquisiciones y su ejecución (Subdirección de contratación), se presenta informe cumplimiento de metas plan desarrollo. (Oficina de planeación) y un análisis de la situación financiera de la entidad seguimiento a ejecución presupuestal con corte 30 de junio (Subdirección Administrativa y Financiera)</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07-2022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10 de agosto de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240" w:lineRule="auto"/>
              <w:ind w:right="-227"/>
              <w:jc w:val="both"/>
              <w:rPr>
                <w:rFonts w:ascii="Arial" w:cs="Arial" w:eastAsia="Arial" w:hAnsi="Arial"/>
              </w:rPr>
            </w:pPr>
            <w:r w:rsidDel="00000000" w:rsidR="00000000" w:rsidRPr="00000000">
              <w:rPr>
                <w:rFonts w:ascii="Arial" w:cs="Arial" w:eastAsia="Arial" w:hAnsi="Arial"/>
                <w:rtl w:val="0"/>
              </w:rPr>
              <w:t xml:space="preserve">Se realiza informe Plan Anual de Adquisiciones y su ejecución (Subdirección de contratación), se presenta un análisis de la situación financiera de la entidad seguimiento a ejecución presupuestal con corte 31 de julio (Subdirección Administrativa y Financiera)</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08-2022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01 de septiembre de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240" w:lineRule="auto"/>
              <w:ind w:right="-227"/>
              <w:jc w:val="both"/>
              <w:rPr>
                <w:rFonts w:ascii="Arial" w:cs="Arial" w:eastAsia="Arial" w:hAnsi="Arial"/>
              </w:rPr>
            </w:pPr>
            <w:r w:rsidDel="00000000" w:rsidR="00000000" w:rsidRPr="00000000">
              <w:rPr>
                <w:rFonts w:ascii="Arial" w:cs="Arial" w:eastAsia="Arial" w:hAnsi="Arial"/>
                <w:rtl w:val="0"/>
              </w:rPr>
              <w:t xml:space="preserve">Se realiza informe Plan Anual de Adquisiciones y su ejecución (Subdirección de contratación), se presenta un análisis de la situación financiera de la entidad seguimiento a ejecución presupuestal con corte 31 de agosto (Subdirección Administrativa y Financiera)</w:t>
            </w:r>
          </w:p>
        </w:tc>
      </w:tr>
      <w:tr>
        <w:trPr>
          <w:cantSplit w:val="0"/>
          <w:trHeight w:val="945" w:hRule="atLeast"/>
          <w:tblHeader w:val="0"/>
        </w:trPr>
        <w:tc>
          <w:tcPr>
            <w:tcBorders>
              <w:top w:color="000000" w:space="0" w:sz="0" w:val="nil"/>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09-2022</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06 de octubre de 2022</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spacing w:after="0" w:line="240" w:lineRule="auto"/>
              <w:ind w:right="-227"/>
              <w:jc w:val="both"/>
              <w:rPr>
                <w:rFonts w:ascii="Arial" w:cs="Arial" w:eastAsia="Arial" w:hAnsi="Arial"/>
              </w:rPr>
            </w:pPr>
            <w:r w:rsidDel="00000000" w:rsidR="00000000" w:rsidRPr="00000000">
              <w:rPr>
                <w:rFonts w:ascii="Arial" w:cs="Arial" w:eastAsia="Arial" w:hAnsi="Arial"/>
                <w:rtl w:val="0"/>
              </w:rPr>
              <w:t xml:space="preserve">Se realiza informe Plan Anual de Adquisiciones y su ejecución (Subdirección de contratación), se presenta un análisis de la situación financiera de la entidad seguimiento a ejecución presupuestal con corte 30 de septiembre (Subdirección Administrativa y Financiera)</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10-2022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E">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04 de noviembre de 2022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7F">
            <w:pPr>
              <w:spacing w:after="0" w:line="240" w:lineRule="auto"/>
              <w:ind w:right="-227"/>
              <w:jc w:val="both"/>
              <w:rPr>
                <w:rFonts w:ascii="Arial" w:cs="Arial" w:eastAsia="Arial" w:hAnsi="Arial"/>
              </w:rPr>
            </w:pPr>
            <w:r w:rsidDel="00000000" w:rsidR="00000000" w:rsidRPr="00000000">
              <w:rPr>
                <w:rFonts w:ascii="Arial" w:cs="Arial" w:eastAsia="Arial" w:hAnsi="Arial"/>
                <w:rtl w:val="0"/>
              </w:rPr>
              <w:t xml:space="preserve">Se realiza informe Plan Anual de Adquisiciones y su ejecución (Subdirección de contratación), se presenta un análisis de la situación financiera de la entidad seguimiento a ejecución presupuestal con corte 31 de octubre (Subdirección Administrativa y Financiera)</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11-2022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1">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02 de diciembre de 2022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82">
            <w:pPr>
              <w:spacing w:after="0" w:line="240" w:lineRule="auto"/>
              <w:ind w:right="-227"/>
              <w:jc w:val="both"/>
              <w:rPr>
                <w:rFonts w:ascii="Arial" w:cs="Arial" w:eastAsia="Arial" w:hAnsi="Arial"/>
              </w:rPr>
            </w:pPr>
            <w:r w:rsidDel="00000000" w:rsidR="00000000" w:rsidRPr="00000000">
              <w:rPr>
                <w:rFonts w:ascii="Arial" w:cs="Arial" w:eastAsia="Arial" w:hAnsi="Arial"/>
                <w:rtl w:val="0"/>
              </w:rPr>
              <w:t xml:space="preserve">Se realiza informe Plan Anual de Adquisiciones y su ejecución (Subdirección de contratación), se presenta un análisis de la situación financiera de la entidad seguimiento a ejecución presupuestal con corte 30 de noviembre (Subdirección Administrativa y Financiera)</w:t>
            </w:r>
          </w:p>
        </w:tc>
      </w:tr>
    </w:tbl>
    <w:p w:rsidR="00000000" w:rsidDel="00000000" w:rsidP="00000000" w:rsidRDefault="00000000" w:rsidRPr="00000000" w14:paraId="00000083">
      <w:pPr>
        <w:spacing w:after="24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Información extraída Actas de comité Financiero</w:t>
      </w:r>
    </w:p>
    <w:p w:rsidR="00000000" w:rsidDel="00000000" w:rsidP="00000000" w:rsidRDefault="00000000" w:rsidRPr="00000000" w14:paraId="00000084">
      <w:pPr>
        <w:spacing w:after="0" w:before="240" w:line="276" w:lineRule="auto"/>
        <w:jc w:val="center"/>
        <w:rPr>
          <w:rFonts w:ascii="Arial" w:cs="Arial" w:eastAsia="Arial" w:hAnsi="Arial"/>
        </w:rPr>
      </w:pPr>
      <w:r w:rsidDel="00000000" w:rsidR="00000000" w:rsidRPr="00000000">
        <w:rPr>
          <w:rFonts w:ascii="Arial" w:cs="Arial" w:eastAsia="Arial" w:hAnsi="Arial"/>
          <w:rtl w:val="0"/>
        </w:rPr>
        <w:t xml:space="preserve">Tabla No. 13 - Actas Comité Financiero IDRD primer semestre 2023</w:t>
      </w:r>
    </w:p>
    <w:tbl>
      <w:tblPr>
        <w:tblStyle w:val="Table9"/>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3"/>
        <w:gridCol w:w="1210"/>
        <w:gridCol w:w="6655"/>
        <w:tblGridChange w:id="0">
          <w:tblGrid>
            <w:gridCol w:w="973"/>
            <w:gridCol w:w="1210"/>
            <w:gridCol w:w="6655"/>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08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Acta</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08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Fecha</w:t>
            </w:r>
          </w:p>
        </w:tc>
        <w:tc>
          <w:tcPr>
            <w:tcBorders>
              <w:top w:color="000000" w:space="0" w:sz="8" w:val="single"/>
              <w:left w:color="000000" w:space="0" w:sz="0" w:val="nil"/>
              <w:bottom w:color="000000" w:space="0" w:sz="8" w:val="single"/>
              <w:right w:color="000000" w:space="0" w:sz="8" w:val="single"/>
            </w:tcBorders>
            <w:shd w:fill="bfbfbf" w:val="clear"/>
            <w:tcMar>
              <w:top w:w="100.0" w:type="dxa"/>
              <w:left w:w="100.0" w:type="dxa"/>
              <w:bottom w:w="100.0" w:type="dxa"/>
              <w:right w:w="100.0" w:type="dxa"/>
            </w:tcMar>
          </w:tcPr>
          <w:p w:rsidR="00000000" w:rsidDel="00000000" w:rsidP="00000000" w:rsidRDefault="00000000" w:rsidRPr="00000000" w14:paraId="00000087">
            <w:pPr>
              <w:spacing w:after="0" w:line="240" w:lineRule="auto"/>
              <w:ind w:left="-760" w:firstLine="0"/>
              <w:jc w:val="center"/>
              <w:rPr>
                <w:rFonts w:ascii="Arial" w:cs="Arial" w:eastAsia="Arial" w:hAnsi="Arial"/>
              </w:rPr>
            </w:pPr>
            <w:r w:rsidDel="00000000" w:rsidR="00000000" w:rsidRPr="00000000">
              <w:rPr>
                <w:rFonts w:ascii="Arial" w:cs="Arial" w:eastAsia="Arial" w:hAnsi="Arial"/>
                <w:rtl w:val="0"/>
              </w:rPr>
              <w:t xml:space="preserve">Tema</w:t>
            </w:r>
          </w:p>
        </w:tc>
      </w:tr>
      <w:tr>
        <w:trPr>
          <w:cantSplit w:val="0"/>
          <w:trHeight w:val="22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01-2023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30 de enero de 2023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 informe Plan Anual de Adquisiciones y su ejecución (Subdirección de contratación), Seguimiento a metas en los proyectos de inversión (Oficina de Planeación); se presenta un análisis de la situación financiera de la entidad seguimiento a ejecución presupuestal con corte 31 de diciembre de 2022 (Subdirección Administrativa y Financiera)</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02-2023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27 de febrero de 2023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 informe Plan Anual de Adquisiciones y su ejecución (Subdirección de contratación), Seguimiento a metas en los proyectos de inversión (Oficina de Planeación); se presenta un análisis de la situación financiera de la entidad seguimiento a ejecución presupuestal con corte 23 de febrero de 2023 (Subdirección Administrativa y Financiera)</w:t>
            </w:r>
          </w:p>
        </w:tc>
      </w:tr>
      <w:tr>
        <w:trPr>
          <w:cantSplit w:val="0"/>
          <w:trHeight w:val="5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0" w:line="240" w:lineRule="auto"/>
              <w:ind w:right="-227"/>
              <w:rPr>
                <w:rFonts w:ascii="Arial" w:cs="Arial" w:eastAsia="Arial" w:hAnsi="Arial"/>
              </w:rPr>
            </w:pPr>
            <w:r w:rsidDel="00000000" w:rsidR="00000000" w:rsidRPr="00000000">
              <w:rPr>
                <w:rtl w:val="0"/>
              </w:rPr>
              <w:t xml:space="preserve">No. 03-2023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27 de marzo de 2023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 informe Plan Anual de Adquisiciones y su ejecución (Subdirección de contratación), Seguimiento a metas en los proyectos de inversión (Oficina de Planeación); se presenta un análisis de la situación financiera de la entidad seguimiento a ejecución presupuestal con corte 23 de marzo de 2023 (Subdirección Administrativa y Financiera)</w:t>
            </w:r>
          </w:p>
        </w:tc>
      </w:tr>
      <w:tr>
        <w:trPr>
          <w:cantSplit w:val="0"/>
          <w:trHeight w:val="94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240" w:lineRule="auto"/>
              <w:ind w:right="-227"/>
              <w:rPr>
                <w:rFonts w:ascii="Arial" w:cs="Arial" w:eastAsia="Arial" w:hAnsi="Arial"/>
              </w:rPr>
            </w:pPr>
            <w:r w:rsidDel="00000000" w:rsidR="00000000" w:rsidRPr="00000000">
              <w:rPr>
                <w:rtl w:val="0"/>
              </w:rPr>
              <w:t xml:space="preserve">No. 04-2023</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19 de abril de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 informe Plan Anual de Adquisiciones y su ejecución (Subdirección de contratación), Seguimiento a metas en los proyectos de inversión (Oficina de Planeación); se presenta un análisis de la situación financiera de la entidad seguimiento a ejecución presupuestal con corte 17 de abril de 2023 (Subdirección Administrativa y Financiera)</w:t>
            </w:r>
          </w:p>
        </w:tc>
      </w:tr>
      <w:tr>
        <w:trPr>
          <w:cantSplit w:val="0"/>
          <w:trHeight w:val="424" w:hRule="atLeast"/>
          <w:tblHeader w:val="0"/>
        </w:trPr>
        <w:tc>
          <w:tcPr>
            <w:tcBorders>
              <w:top w:color="000000" w:space="0" w:sz="0" w:val="nil"/>
              <w:left w:color="000000" w:space="0" w:sz="8" w:val="single"/>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spacing w:after="0" w:line="240" w:lineRule="auto"/>
              <w:ind w:right="-227"/>
              <w:rPr>
                <w:rFonts w:ascii="Arial" w:cs="Arial" w:eastAsia="Arial" w:hAnsi="Arial"/>
              </w:rPr>
            </w:pPr>
            <w:r w:rsidDel="00000000" w:rsidR="00000000" w:rsidRPr="00000000">
              <w:rPr>
                <w:rtl w:val="0"/>
              </w:rPr>
              <w:t xml:space="preserve">No. 05-2023</w:t>
            </w: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11 de mayo de 2023</w:t>
            </w:r>
          </w:p>
        </w:tc>
        <w:tc>
          <w:tcPr>
            <w:tcBorders>
              <w:top w:color="000000" w:space="0" w:sz="0" w:val="nil"/>
              <w:left w:color="000000" w:space="0" w:sz="0" w:val="nil"/>
              <w:bottom w:color="000000" w:space="0" w:sz="4"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 informe Plan Anual de Adquisiciones y su ejecución (Subdirección de contratación), Seguimiento a metas en los proyectos de inversión (Oficina de Planeación); se presenta un análisis de la situación financiera de la entidad seguimiento a ejecución presupuestal con corte 09 de mayo de 2023 (Subdirección Administrativa y Financiera)</w:t>
            </w:r>
          </w:p>
        </w:tc>
      </w:tr>
      <w:tr>
        <w:trPr>
          <w:cantSplit w:val="0"/>
          <w:trHeight w:val="424"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7">
            <w:pPr>
              <w:spacing w:after="0" w:line="240" w:lineRule="auto"/>
              <w:ind w:right="-227"/>
              <w:rPr/>
            </w:pPr>
            <w:r w:rsidDel="00000000" w:rsidR="00000000" w:rsidRPr="00000000">
              <w:rPr>
                <w:rtl w:val="0"/>
              </w:rPr>
              <w:t xml:space="preserve">No. 06-2023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8">
            <w:pPr>
              <w:spacing w:after="0" w:line="240" w:lineRule="auto"/>
              <w:ind w:right="12"/>
              <w:jc w:val="center"/>
              <w:rPr>
                <w:rFonts w:ascii="Arial" w:cs="Arial" w:eastAsia="Arial" w:hAnsi="Arial"/>
              </w:rPr>
            </w:pPr>
            <w:r w:rsidDel="00000000" w:rsidR="00000000" w:rsidRPr="00000000">
              <w:rPr>
                <w:rFonts w:ascii="Arial" w:cs="Arial" w:eastAsia="Arial" w:hAnsi="Arial"/>
                <w:rtl w:val="0"/>
              </w:rPr>
              <w:t xml:space="preserve">08 de junio de 2023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realiza informe Plan Anual de Adquisiciones y su ejecución (Subdirección de contratación), Seguimiento a metas en los proyectos de inversión (Oficina de Planeación); se presenta un análisis de la situación financiera de la entidad seguimiento a ejecución presupuestal con corte 05 de junio de 2023 (Subdirección Administrativa y Financiera)</w:t>
            </w:r>
          </w:p>
        </w:tc>
      </w:tr>
    </w:tbl>
    <w:p w:rsidR="00000000" w:rsidDel="00000000" w:rsidP="00000000" w:rsidRDefault="00000000" w:rsidRPr="00000000" w14:paraId="0000009A">
      <w:pPr>
        <w:spacing w:after="24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Información extraída Actas de comité Financiero</w:t>
      </w:r>
    </w:p>
    <w:p w:rsidR="00000000" w:rsidDel="00000000" w:rsidP="00000000" w:rsidRDefault="00000000" w:rsidRPr="00000000" w14:paraId="0000009B">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De acuerdo con la información registrada en las actas de los Comités Financieros llevados a cabo durante la vigencia segundo semestre de 2022 y primer semestre de 2023, se observó que se relacionaron situaciones presentadas en las áreas del Instituto en las diferentes etapas de los procesos contractuales, así mismo, se visualizó la descripción de actividades para la prevención y el mejoramiento respecto de las situaciones que se han presentado en la gestión contractual y en la administración presupuestal. Se observa un juicioso análisis de la ejecución del Plan Anual de adquisiciones y la ejecución presupuestal mensual. </w:t>
      </w:r>
    </w:p>
    <w:p w:rsidR="00000000" w:rsidDel="00000000" w:rsidP="00000000" w:rsidRDefault="00000000" w:rsidRPr="00000000" w14:paraId="0000009C">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Por otro lado, se procedió por parte de la OCI a revisar los lineamientos proferidos impartidas al interior del IDRD, durante la vigencia segundo semestre de 2022 y primer semestre de 2023, relacionados con los trámites de la gestión contractual, encontrando lo siguiente:</w:t>
      </w:r>
    </w:p>
    <w:p w:rsidR="00000000" w:rsidDel="00000000" w:rsidP="00000000" w:rsidRDefault="00000000" w:rsidRPr="00000000" w14:paraId="0000009D">
      <w:pPr>
        <w:spacing w:after="240" w:before="240" w:line="240" w:lineRule="auto"/>
        <w:jc w:val="center"/>
        <w:rPr>
          <w:rFonts w:ascii="Arial" w:cs="Arial" w:eastAsia="Arial" w:hAnsi="Arial"/>
        </w:rPr>
      </w:pPr>
      <w:r w:rsidDel="00000000" w:rsidR="00000000" w:rsidRPr="00000000">
        <w:rPr>
          <w:rFonts w:ascii="Arial" w:cs="Arial" w:eastAsia="Arial" w:hAnsi="Arial"/>
          <w:rtl w:val="0"/>
        </w:rPr>
        <w:t xml:space="preserve">Tabla No. 14 – Lineamientos Impartidas al Interior del IDRD relacionadas con actividades contractuales</w:t>
      </w:r>
    </w:p>
    <w:tbl>
      <w:tblPr>
        <w:tblStyle w:val="Table10"/>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7"/>
        <w:gridCol w:w="2126"/>
        <w:gridCol w:w="4595"/>
        <w:tblGridChange w:id="0">
          <w:tblGrid>
            <w:gridCol w:w="2117"/>
            <w:gridCol w:w="2126"/>
            <w:gridCol w:w="4595"/>
          </w:tblGrid>
        </w:tblGridChange>
      </w:tblGrid>
      <w:tr>
        <w:trPr>
          <w:cantSplit w:val="0"/>
          <w:trHeight w:val="470"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9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Memorando</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9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Fecha</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tcPr>
          <w:p w:rsidR="00000000" w:rsidDel="00000000" w:rsidP="00000000" w:rsidRDefault="00000000" w:rsidRPr="00000000" w14:paraId="000000A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Aspecto</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20228000195603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09 de mayo de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spacing w:after="0" w:line="240" w:lineRule="auto"/>
              <w:jc w:val="both"/>
              <w:rPr>
                <w:rFonts w:ascii="Arial" w:cs="Arial" w:eastAsia="Arial" w:hAnsi="Arial"/>
              </w:rPr>
            </w:pPr>
            <w:r w:rsidDel="00000000" w:rsidR="00000000" w:rsidRPr="00000000">
              <w:rPr>
                <w:rFonts w:ascii="Arial" w:cs="Arial" w:eastAsia="Arial" w:hAnsi="Arial"/>
                <w:rtl w:val="0"/>
              </w:rPr>
              <w:t xml:space="preserve">Actualización Estado Contratos en SECOP II</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20228000142493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05 de abril de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spacing w:after="0" w:line="240" w:lineRule="auto"/>
              <w:jc w:val="both"/>
              <w:rPr>
                <w:rFonts w:ascii="Arial" w:cs="Arial" w:eastAsia="Arial" w:hAnsi="Arial"/>
              </w:rPr>
            </w:pPr>
            <w:r w:rsidDel="00000000" w:rsidR="00000000" w:rsidRPr="00000000">
              <w:rPr>
                <w:rFonts w:ascii="Arial" w:cs="Arial" w:eastAsia="Arial" w:hAnsi="Arial"/>
                <w:rtl w:val="0"/>
              </w:rPr>
              <w:t xml:space="preserve">Publicación documentos en SECOP producto de la gestión contractual</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20228000142493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07 de julio de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spacing w:after="0" w:line="240" w:lineRule="auto"/>
              <w:jc w:val="both"/>
              <w:rPr>
                <w:rFonts w:ascii="Arial" w:cs="Arial" w:eastAsia="Arial" w:hAnsi="Arial"/>
              </w:rPr>
            </w:pPr>
            <w:r w:rsidDel="00000000" w:rsidR="00000000" w:rsidRPr="00000000">
              <w:rPr>
                <w:rFonts w:ascii="Arial" w:cs="Arial" w:eastAsia="Arial" w:hAnsi="Arial"/>
                <w:rtl w:val="0"/>
              </w:rPr>
              <w:t xml:space="preserve">Publicación documentos en SECOP producto de la gestión contractual</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20228000213573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23 de mayo de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spacing w:after="0" w:line="240" w:lineRule="auto"/>
              <w:jc w:val="both"/>
              <w:rPr>
                <w:rFonts w:ascii="Arial" w:cs="Arial" w:eastAsia="Arial" w:hAnsi="Arial"/>
              </w:rPr>
            </w:pPr>
            <w:r w:rsidDel="00000000" w:rsidR="00000000" w:rsidRPr="00000000">
              <w:rPr>
                <w:rFonts w:ascii="Arial" w:cs="Arial" w:eastAsia="Arial" w:hAnsi="Arial"/>
                <w:rtl w:val="0"/>
              </w:rPr>
              <w:t xml:space="preserve">Actualización formato de Documentos y Estudios Previos Versión 5</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20228000172843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12 de diciembre de 2022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F">
            <w:pPr>
              <w:spacing w:after="0" w:line="240" w:lineRule="auto"/>
              <w:jc w:val="both"/>
              <w:rPr>
                <w:rFonts w:ascii="Arial" w:cs="Arial" w:eastAsia="Arial" w:hAnsi="Arial"/>
              </w:rPr>
            </w:pPr>
            <w:r w:rsidDel="00000000" w:rsidR="00000000" w:rsidRPr="00000000">
              <w:rPr>
                <w:rFonts w:ascii="Arial" w:cs="Arial" w:eastAsia="Arial" w:hAnsi="Arial"/>
                <w:rtl w:val="0"/>
              </w:rPr>
              <w:t xml:space="preserve">Lineamientos cobertura pólizas de garantías</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20238000005453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06 de enero de 2023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spacing w:after="0" w:line="240" w:lineRule="auto"/>
              <w:jc w:val="both"/>
              <w:rPr>
                <w:rFonts w:ascii="Arial" w:cs="Arial" w:eastAsia="Arial" w:hAnsi="Arial"/>
              </w:rPr>
            </w:pPr>
            <w:r w:rsidDel="00000000" w:rsidR="00000000" w:rsidRPr="00000000">
              <w:rPr>
                <w:rFonts w:ascii="Arial" w:cs="Arial" w:eastAsia="Arial" w:hAnsi="Arial"/>
                <w:rtl w:val="0"/>
              </w:rPr>
              <w:t xml:space="preserve">Publicación documentos en SECOP producto de la gestión contractual</w:t>
            </w:r>
          </w:p>
        </w:tc>
      </w:tr>
      <w:tr>
        <w:trPr>
          <w:cantSplit w:val="0"/>
          <w:trHeight w:val="56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20238000321243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27 de junio de 2023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spacing w:after="0" w:line="240" w:lineRule="auto"/>
              <w:jc w:val="both"/>
              <w:rPr>
                <w:rFonts w:ascii="Arial" w:cs="Arial" w:eastAsia="Arial" w:hAnsi="Arial"/>
              </w:rPr>
            </w:pPr>
            <w:r w:rsidDel="00000000" w:rsidR="00000000" w:rsidRPr="00000000">
              <w:rPr>
                <w:rFonts w:ascii="Arial" w:cs="Arial" w:eastAsia="Arial" w:hAnsi="Arial"/>
                <w:rtl w:val="0"/>
              </w:rPr>
              <w:t xml:space="preserve">Publicación documentos en SECOP producto de la gestión contractual</w:t>
            </w:r>
          </w:p>
        </w:tc>
      </w:tr>
    </w:tbl>
    <w:p w:rsidR="00000000" w:rsidDel="00000000" w:rsidP="00000000" w:rsidRDefault="00000000" w:rsidRPr="00000000" w14:paraId="000000B6">
      <w:pPr>
        <w:spacing w:after="0" w:before="240" w:line="276"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Fuente: Información extraída del Gestor Documental ORFEO</w:t>
      </w:r>
    </w:p>
    <w:p w:rsidR="00000000" w:rsidDel="00000000" w:rsidP="00000000" w:rsidRDefault="00000000" w:rsidRPr="00000000" w14:paraId="000000B7">
      <w:pPr>
        <w:spacing w:after="240" w:before="240" w:line="240" w:lineRule="auto"/>
        <w:jc w:val="both"/>
        <w:rPr>
          <w:rFonts w:ascii="Arial" w:cs="Arial" w:eastAsia="Arial" w:hAnsi="Arial"/>
        </w:rPr>
      </w:pPr>
      <w:r w:rsidDel="00000000" w:rsidR="00000000" w:rsidRPr="00000000">
        <w:rPr>
          <w:rFonts w:ascii="Arial" w:cs="Arial" w:eastAsia="Arial" w:hAnsi="Arial"/>
          <w:rtl w:val="0"/>
        </w:rPr>
        <w:t xml:space="preserve">De lo anterior, se observó que se han proferido distintos lineamientos al interior del Instituto, los cuales tienen relación con diferentes temáticas concernientes a la gestión contractual, a efectos de que se dan instrucciones para el desarrollo de las actividades administrativas en cabeza del Instituto y en relación con los procesos de implementación de la gestión documental.   </w:t>
      </w:r>
    </w:p>
    <w:p w:rsidR="00000000" w:rsidDel="00000000" w:rsidP="00000000" w:rsidRDefault="00000000" w:rsidRPr="00000000" w14:paraId="000000B8">
      <w:pPr>
        <w:spacing w:after="0" w:line="240" w:lineRule="auto"/>
        <w:jc w:val="both"/>
        <w:rPr>
          <w:rFonts w:ascii="Arial" w:cs="Arial" w:eastAsia="Arial" w:hAnsi="Arial"/>
          <w:b w:val="1"/>
          <w:u w:val="single"/>
        </w:rPr>
      </w:pPr>
      <w:r w:rsidDel="00000000" w:rsidR="00000000" w:rsidRPr="00000000">
        <w:rPr>
          <w:rtl w:val="0"/>
        </w:rPr>
      </w:r>
    </w:p>
    <w:tbl>
      <w:tblPr>
        <w:tblStyle w:val="Table1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B9">
            <w:pPr>
              <w:jc w:val="center"/>
              <w:rPr>
                <w:rFonts w:ascii="Arial" w:cs="Arial" w:eastAsia="Arial" w:hAnsi="Arial"/>
                <w:b w:val="1"/>
              </w:rPr>
            </w:pPr>
            <w:r w:rsidDel="00000000" w:rsidR="00000000" w:rsidRPr="00000000">
              <w:rPr>
                <w:rFonts w:ascii="Arial" w:cs="Arial" w:eastAsia="Arial" w:hAnsi="Arial"/>
                <w:b w:val="1"/>
                <w:rtl w:val="0"/>
              </w:rPr>
              <w:t xml:space="preserve">CONCLUSIONES DE LA PRUEBA</w:t>
            </w:r>
          </w:p>
        </w:tc>
      </w:tr>
    </w:tbl>
    <w:p w:rsidR="00000000" w:rsidDel="00000000" w:rsidP="00000000" w:rsidRDefault="00000000" w:rsidRPr="00000000" w14:paraId="000000BA">
      <w:pPr>
        <w:spacing w:after="0" w:line="240" w:lineRule="auto"/>
        <w:ind w:left="720" w:firstLine="0"/>
        <w:jc w:val="both"/>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BB">
      <w:pPr>
        <w:numPr>
          <w:ilvl w:val="0"/>
          <w:numId w:val="1"/>
        </w:numPr>
        <w:spacing w:after="0"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Se observó en las actas del Comité de Contratación tomadas en la muestra, que estas versan sobre respuestas a observaciones de los proponentes, vistos buenos para adiciones de contratos e inicios de procesos contractuales. </w:t>
      </w:r>
    </w:p>
    <w:p w:rsidR="00000000" w:rsidDel="00000000" w:rsidP="00000000" w:rsidRDefault="00000000" w:rsidRPr="00000000" w14:paraId="000000BC">
      <w:pPr>
        <w:spacing w:after="0" w:line="276" w:lineRule="auto"/>
        <w:ind w:left="720" w:firstLine="0"/>
        <w:jc w:val="both"/>
        <w:rPr>
          <w:rFonts w:ascii="Arial" w:cs="Arial" w:eastAsia="Arial" w:hAnsi="Arial"/>
        </w:rPr>
      </w:pPr>
      <w:bookmarkStart w:colFirst="0" w:colLast="0" w:name="_heading=h.m35qapvj999" w:id="1"/>
      <w:bookmarkEnd w:id="1"/>
      <w:r w:rsidDel="00000000" w:rsidR="00000000" w:rsidRPr="00000000">
        <w:rPr>
          <w:rtl w:val="0"/>
        </w:rPr>
      </w:r>
    </w:p>
    <w:p w:rsidR="00000000" w:rsidDel="00000000" w:rsidP="00000000" w:rsidRDefault="00000000" w:rsidRPr="00000000" w14:paraId="000000BD">
      <w:pPr>
        <w:numPr>
          <w:ilvl w:val="0"/>
          <w:numId w:val="1"/>
        </w:numPr>
        <w:spacing w:after="240" w:line="276" w:lineRule="auto"/>
        <w:ind w:left="720" w:hanging="360"/>
        <w:jc w:val="both"/>
        <w:rPr>
          <w:rFonts w:ascii="Arial" w:cs="Arial" w:eastAsia="Arial" w:hAnsi="Arial"/>
        </w:rPr>
      </w:pPr>
      <w:bookmarkStart w:colFirst="0" w:colLast="0" w:name="_heading=h.2rjfl1prkvi" w:id="2"/>
      <w:bookmarkEnd w:id="2"/>
      <w:r w:rsidDel="00000000" w:rsidR="00000000" w:rsidRPr="00000000">
        <w:rPr>
          <w:rFonts w:ascii="Arial" w:cs="Arial" w:eastAsia="Arial" w:hAnsi="Arial"/>
          <w:rtl w:val="0"/>
        </w:rPr>
        <w:t xml:space="preserve">De la información revisada en las actas de Comité Financiero, se observó que se genera un espacio para compartir la experiencia en materia de contratación, así como la retroalimentación y recomendación sobre los temas concernientes a la gestión contractual al interior del Instituto y un seguimiento adecuado de la ejecución presupuestal.</w:t>
      </w:r>
    </w:p>
    <w:p w:rsidR="00000000" w:rsidDel="00000000" w:rsidP="00000000" w:rsidRDefault="00000000" w:rsidRPr="00000000" w14:paraId="000000BE">
      <w:pPr>
        <w:spacing w:after="0" w:before="240" w:line="276" w:lineRule="auto"/>
        <w:ind w:left="720" w:firstLine="0"/>
        <w:jc w:val="both"/>
        <w:rPr>
          <w:rFonts w:ascii="Arial" w:cs="Arial" w:eastAsia="Arial" w:hAnsi="Arial"/>
        </w:rPr>
      </w:pPr>
      <w:bookmarkStart w:colFirst="0" w:colLast="0" w:name="_heading=h.k8nt277t2r0g" w:id="3"/>
      <w:bookmarkEnd w:id="3"/>
      <w:r w:rsidDel="00000000" w:rsidR="00000000" w:rsidRPr="00000000">
        <w:rPr>
          <w:rtl w:val="0"/>
        </w:rPr>
      </w:r>
    </w:p>
    <w:p w:rsidR="00000000" w:rsidDel="00000000" w:rsidP="00000000" w:rsidRDefault="00000000" w:rsidRPr="00000000" w14:paraId="000000BF">
      <w:pPr>
        <w:spacing w:after="240" w:before="240" w:line="240" w:lineRule="auto"/>
        <w:jc w:val="both"/>
        <w:rPr>
          <w:rFonts w:ascii="Arial" w:cs="Arial" w:eastAsia="Arial" w:hAnsi="Arial"/>
        </w:rPr>
      </w:pPr>
      <w:bookmarkStart w:colFirst="0" w:colLast="0" w:name="_heading=h.bww3drpfp3md" w:id="4"/>
      <w:bookmarkEnd w:id="4"/>
      <w:r w:rsidDel="00000000" w:rsidR="00000000" w:rsidRPr="00000000">
        <w:rPr>
          <w:rFonts w:ascii="Arial" w:cs="Arial" w:eastAsia="Arial" w:hAnsi="Arial"/>
          <w:rtl w:val="0"/>
        </w:rPr>
        <w:t xml:space="preserve">Se observó, que durante la vigencia objeto de auditoría, se han emitido lineamientos a través de memorandos al interior del IDRD, los cuales versan sobre temáticas concernientes a la gestión contractual, en dichos lineamientos se relación instrucciones para el desarrollo de las actividades administrativas en cabeza del Instituto y en relación con los procesos de implementación de la gestión documental. </w:t>
      </w:r>
    </w:p>
    <w:p w:rsidR="00000000" w:rsidDel="00000000" w:rsidP="00000000" w:rsidRDefault="00000000" w:rsidRPr="00000000" w14:paraId="000000C0">
      <w:pPr>
        <w:spacing w:after="0" w:line="240" w:lineRule="auto"/>
        <w:jc w:val="both"/>
        <w:rPr>
          <w:rFonts w:ascii="Arial" w:cs="Arial" w:eastAsia="Arial" w:hAnsi="Arial"/>
          <w:b w:val="1"/>
          <w:u w:val="single"/>
        </w:rPr>
      </w:pPr>
      <w:r w:rsidDel="00000000" w:rsidR="00000000" w:rsidRPr="00000000">
        <w:rPr>
          <w:rtl w:val="0"/>
        </w:rPr>
      </w:r>
    </w:p>
    <w:tbl>
      <w:tblPr>
        <w:tblStyle w:val="Table12"/>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8" w:hRule="atLeast"/>
          <w:tblHeader w:val="0"/>
        </w:trPr>
        <w:tc>
          <w:tcPr>
            <w:shd w:fill="d9d9d9" w:val="clear"/>
            <w:vAlign w:val="center"/>
          </w:tcPr>
          <w:p w:rsidR="00000000" w:rsidDel="00000000" w:rsidP="00000000" w:rsidRDefault="00000000" w:rsidRPr="00000000" w14:paraId="000000C1">
            <w:pPr>
              <w:jc w:val="center"/>
              <w:rPr>
                <w:rFonts w:ascii="Arial" w:cs="Arial" w:eastAsia="Arial" w:hAnsi="Arial"/>
                <w:b w:val="1"/>
              </w:rPr>
            </w:pPr>
            <w:r w:rsidDel="00000000" w:rsidR="00000000" w:rsidRPr="00000000">
              <w:rPr>
                <w:rFonts w:ascii="Arial" w:cs="Arial" w:eastAsia="Arial" w:hAnsi="Arial"/>
                <w:b w:val="1"/>
                <w:rtl w:val="0"/>
              </w:rPr>
              <w:t xml:space="preserve">ASPECTOS LOGRADOS</w:t>
            </w:r>
          </w:p>
        </w:tc>
      </w:tr>
    </w:tbl>
    <w:p w:rsidR="00000000" w:rsidDel="00000000" w:rsidP="00000000" w:rsidRDefault="00000000" w:rsidRPr="00000000" w14:paraId="000000C2">
      <w:pPr>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En los Comités Financiero del IDRD que se realizaron en la vigencia segundo semestre 2022 y primer semestre 2023, se observó la existencia de un espacio para el análisis de las situaciones acaecidas (no exitosas) lo cual permite que se generen lineamientos y acciones para la mejora y prevención de dichas situaciones.</w:t>
      </w:r>
    </w:p>
    <w:p w:rsidR="00000000" w:rsidDel="00000000" w:rsidP="00000000" w:rsidRDefault="00000000" w:rsidRPr="00000000" w14:paraId="000000C3">
      <w:pPr>
        <w:spacing w:after="0" w:before="240" w:line="240" w:lineRule="auto"/>
        <w:jc w:val="both"/>
        <w:rPr>
          <w:rFonts w:ascii="Arial" w:cs="Arial" w:eastAsia="Arial" w:hAnsi="Arial"/>
        </w:rPr>
      </w:pPr>
      <w:r w:rsidDel="00000000" w:rsidR="00000000" w:rsidRPr="00000000">
        <w:rPr>
          <w:rFonts w:ascii="Arial" w:cs="Arial" w:eastAsia="Arial" w:hAnsi="Arial"/>
          <w:rtl w:val="0"/>
        </w:rPr>
        <w:t xml:space="preserve">En los Comités de Contratación del IDRD que se realizaron en la vigencia segundo semestre 2022 y primer semestre 2023 se evidencia la discusión y puesta  en consideración de procesos contractuales desde sus componentes jurídicos, técnicos y financieros, estableciendo un espacio de socialización que enriquece la gestión contractual.</w:t>
      </w:r>
    </w:p>
    <w:p w:rsidR="00000000" w:rsidDel="00000000" w:rsidP="00000000" w:rsidRDefault="00000000" w:rsidRPr="00000000" w14:paraId="000000C4">
      <w:pPr>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C5">
      <w:pPr>
        <w:spacing w:after="0" w:line="240" w:lineRule="auto"/>
        <w:jc w:val="both"/>
        <w:rPr>
          <w:rFonts w:ascii="Arial" w:cs="Arial" w:eastAsia="Arial" w:hAnsi="Arial"/>
          <w:b w:val="1"/>
          <w:color w:val="808080"/>
          <w:u w:val="single"/>
        </w:rPr>
      </w:pPr>
      <w:r w:rsidDel="00000000" w:rsidR="00000000" w:rsidRPr="00000000">
        <w:rPr>
          <w:rtl w:val="0"/>
        </w:rPr>
      </w:r>
    </w:p>
    <w:tbl>
      <w:tblPr>
        <w:tblStyle w:val="Table13"/>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39"/>
        <w:tblGridChange w:id="0">
          <w:tblGrid>
            <w:gridCol w:w="9039"/>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C6">
            <w:pPr>
              <w:jc w:val="center"/>
              <w:rPr>
                <w:rFonts w:ascii="Arial" w:cs="Arial" w:eastAsia="Arial" w:hAnsi="Arial"/>
                <w:b w:val="1"/>
              </w:rPr>
            </w:pPr>
            <w:r w:rsidDel="00000000" w:rsidR="00000000" w:rsidRPr="00000000">
              <w:rPr>
                <w:rFonts w:ascii="Arial" w:cs="Arial" w:eastAsia="Arial" w:hAnsi="Arial"/>
                <w:b w:val="1"/>
                <w:rtl w:val="0"/>
              </w:rPr>
              <w:t xml:space="preserve">FORTALEZAS</w:t>
            </w:r>
          </w:p>
        </w:tc>
      </w:tr>
    </w:tbl>
    <w:p w:rsidR="00000000" w:rsidDel="00000000" w:rsidP="00000000" w:rsidRDefault="00000000" w:rsidRPr="00000000" w14:paraId="000000C7">
      <w:pPr>
        <w:spacing w:after="0" w:before="240" w:line="276" w:lineRule="auto"/>
        <w:jc w:val="both"/>
        <w:rPr>
          <w:rFonts w:ascii="Arial" w:cs="Arial" w:eastAsia="Arial" w:hAnsi="Arial"/>
          <w:b w:val="1"/>
          <w:color w:val="808080"/>
        </w:rPr>
      </w:pPr>
      <w:r w:rsidDel="00000000" w:rsidR="00000000" w:rsidRPr="00000000">
        <w:rPr>
          <w:rFonts w:ascii="Arial" w:cs="Arial" w:eastAsia="Arial" w:hAnsi="Arial"/>
          <w:rtl w:val="0"/>
        </w:rPr>
        <w:t xml:space="preserve">No se observaron situaciones que generen valor agregado a la gestión del proceso dentro del periodo auditado.</w:t>
      </w:r>
      <w:r w:rsidDel="00000000" w:rsidR="00000000" w:rsidRPr="00000000">
        <w:rPr>
          <w:rtl w:val="0"/>
        </w:rPr>
      </w:r>
    </w:p>
    <w:p w:rsidR="00000000" w:rsidDel="00000000" w:rsidP="00000000" w:rsidRDefault="00000000" w:rsidRPr="00000000" w14:paraId="000000C8">
      <w:pPr>
        <w:spacing w:after="0" w:line="240" w:lineRule="auto"/>
        <w:jc w:val="both"/>
        <w:rPr>
          <w:rFonts w:ascii="Arial" w:cs="Arial" w:eastAsia="Arial" w:hAnsi="Arial"/>
          <w:b w:val="1"/>
        </w:rPr>
      </w:pPr>
      <w:r w:rsidDel="00000000" w:rsidR="00000000" w:rsidRPr="00000000">
        <w:rPr>
          <w:rtl w:val="0"/>
        </w:rPr>
      </w:r>
    </w:p>
    <w:tbl>
      <w:tblPr>
        <w:tblStyle w:val="Table14"/>
        <w:tblW w:w="90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5"/>
        <w:tblGridChange w:id="0">
          <w:tblGrid>
            <w:gridCol w:w="907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C9">
            <w:pPr>
              <w:jc w:val="center"/>
              <w:rPr>
                <w:rFonts w:ascii="Arial" w:cs="Arial" w:eastAsia="Arial" w:hAnsi="Arial"/>
                <w:b w:val="1"/>
              </w:rPr>
            </w:pPr>
            <w:r w:rsidDel="00000000" w:rsidR="00000000" w:rsidRPr="00000000">
              <w:rPr>
                <w:rFonts w:ascii="Arial" w:cs="Arial" w:eastAsia="Arial" w:hAnsi="Arial"/>
                <w:b w:val="1"/>
                <w:rtl w:val="0"/>
              </w:rPr>
              <w:t xml:space="preserve">OPORTUNIDADES DE MEJORA</w:t>
            </w:r>
          </w:p>
        </w:tc>
      </w:tr>
    </w:tbl>
    <w:p w:rsidR="00000000" w:rsidDel="00000000" w:rsidP="00000000" w:rsidRDefault="00000000" w:rsidRPr="00000000" w14:paraId="000000CA">
      <w:pPr>
        <w:spacing w:after="0" w:before="240" w:line="276" w:lineRule="auto"/>
        <w:jc w:val="both"/>
        <w:rPr>
          <w:rFonts w:ascii="Arial" w:cs="Arial" w:eastAsia="Arial" w:hAnsi="Arial"/>
          <w:b w:val="1"/>
          <w:color w:val="808080"/>
        </w:rPr>
      </w:pPr>
      <w:r w:rsidDel="00000000" w:rsidR="00000000" w:rsidRPr="00000000">
        <w:rPr>
          <w:rFonts w:ascii="Arial" w:cs="Arial" w:eastAsia="Arial" w:hAnsi="Arial"/>
          <w:rtl w:val="0"/>
        </w:rPr>
        <w:t xml:space="preserve">No se observaron situaciones que generen valor agregado a la gestión del proceso</w:t>
      </w:r>
      <w:r w:rsidDel="00000000" w:rsidR="00000000" w:rsidRPr="00000000">
        <w:rPr>
          <w:rFonts w:ascii="Arial" w:cs="Arial" w:eastAsia="Arial" w:hAnsi="Arial"/>
          <w:b w:val="1"/>
          <w:color w:val="808080"/>
          <w:rtl w:val="0"/>
        </w:rPr>
        <w:t xml:space="preserve">. </w:t>
      </w:r>
    </w:p>
    <w:p w:rsidR="00000000" w:rsidDel="00000000" w:rsidP="00000000" w:rsidRDefault="00000000" w:rsidRPr="00000000" w14:paraId="000000CB">
      <w:pPr>
        <w:spacing w:after="0" w:line="240" w:lineRule="auto"/>
        <w:jc w:val="both"/>
        <w:rPr>
          <w:rFonts w:ascii="Arial" w:cs="Arial" w:eastAsia="Arial" w:hAnsi="Arial"/>
          <w:b w:val="1"/>
          <w:u w:val="single"/>
        </w:rPr>
      </w:pPr>
      <w:r w:rsidDel="00000000" w:rsidR="00000000" w:rsidRPr="00000000">
        <w:rPr>
          <w:rtl w:val="0"/>
        </w:rPr>
      </w:r>
    </w:p>
    <w:tbl>
      <w:tblPr>
        <w:tblStyle w:val="Table15"/>
        <w:tblW w:w="91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05"/>
        <w:tblGridChange w:id="0">
          <w:tblGrid>
            <w:gridCol w:w="9105"/>
          </w:tblGrid>
        </w:tblGridChange>
      </w:tblGrid>
      <w:tr>
        <w:trPr>
          <w:cantSplit w:val="0"/>
          <w:trHeight w:val="737" w:hRule="atLeast"/>
          <w:tblHeader w:val="0"/>
        </w:trPr>
        <w:tc>
          <w:tcPr>
            <w:shd w:fill="d9d9d9" w:val="clear"/>
            <w:vAlign w:val="center"/>
          </w:tcPr>
          <w:p w:rsidR="00000000" w:rsidDel="00000000" w:rsidP="00000000" w:rsidRDefault="00000000" w:rsidRPr="00000000" w14:paraId="000000CC">
            <w:pPr>
              <w:jc w:val="center"/>
              <w:rPr>
                <w:rFonts w:ascii="Arial" w:cs="Arial" w:eastAsia="Arial" w:hAnsi="Arial"/>
                <w:b w:val="1"/>
              </w:rPr>
            </w:pPr>
            <w:r w:rsidDel="00000000" w:rsidR="00000000" w:rsidRPr="00000000">
              <w:rPr>
                <w:rFonts w:ascii="Arial" w:cs="Arial" w:eastAsia="Arial" w:hAnsi="Arial"/>
                <w:b w:val="1"/>
                <w:rtl w:val="0"/>
              </w:rPr>
              <w:t xml:space="preserve">HALLAZGOS</w:t>
            </w:r>
          </w:p>
        </w:tc>
      </w:tr>
    </w:tbl>
    <w:p w:rsidR="00000000" w:rsidDel="00000000" w:rsidP="00000000" w:rsidRDefault="00000000" w:rsidRPr="00000000" w14:paraId="000000CD">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CE">
      <w:pPr>
        <w:spacing w:after="0" w:line="240" w:lineRule="auto"/>
        <w:jc w:val="both"/>
        <w:rPr>
          <w:rFonts w:ascii="Arial" w:cs="Arial" w:eastAsia="Arial" w:hAnsi="Arial"/>
          <w:b w:val="1"/>
          <w:color w:val="808080"/>
        </w:rPr>
      </w:pPr>
      <w:r w:rsidDel="00000000" w:rsidR="00000000" w:rsidRPr="00000000">
        <w:rPr>
          <w:rFonts w:ascii="Arial" w:cs="Arial" w:eastAsia="Arial" w:hAnsi="Arial"/>
          <w:rtl w:val="0"/>
        </w:rPr>
        <w:t xml:space="preserve">No se observaron situaciones que resulten en observaciones, respecto al objetivo analizado en el presente objetivo</w:t>
      </w:r>
      <w:r w:rsidDel="00000000" w:rsidR="00000000" w:rsidRPr="00000000">
        <w:rPr>
          <w:rtl w:val="0"/>
        </w:rPr>
      </w:r>
    </w:p>
    <w:p w:rsidR="00000000" w:rsidDel="00000000" w:rsidP="00000000" w:rsidRDefault="00000000" w:rsidRPr="00000000" w14:paraId="000000CF">
      <w:pPr>
        <w:spacing w:after="0" w:line="240" w:lineRule="auto"/>
        <w:jc w:val="both"/>
        <w:rPr>
          <w:rFonts w:ascii="Arial" w:cs="Arial" w:eastAsia="Arial" w:hAnsi="Arial"/>
          <w:b w:val="1"/>
          <w:color w:val="808080"/>
          <w:u w:val="single"/>
        </w:rPr>
      </w:pPr>
      <w:r w:rsidDel="00000000" w:rsidR="00000000" w:rsidRPr="00000000">
        <w:rPr>
          <w:rtl w:val="0"/>
        </w:rPr>
      </w:r>
    </w:p>
    <w:p w:rsidR="00000000" w:rsidDel="00000000" w:rsidP="00000000" w:rsidRDefault="00000000" w:rsidRPr="00000000" w14:paraId="000000D0">
      <w:pPr>
        <w:spacing w:after="0" w:line="240" w:lineRule="auto"/>
        <w:jc w:val="both"/>
        <w:rPr>
          <w:rFonts w:ascii="Arial" w:cs="Arial" w:eastAsia="Arial" w:hAnsi="Arial"/>
        </w:rPr>
      </w:pPr>
      <w:r w:rsidDel="00000000" w:rsidR="00000000" w:rsidRPr="00000000">
        <w:rPr>
          <w:rtl w:val="0"/>
        </w:rPr>
      </w:r>
    </w:p>
    <w:sectPr>
      <w:headerReference r:id="rId8" w:type="default"/>
      <w:foot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tl w:val="0"/>
      </w:rPr>
      <w:t xml:space="preserve">CONTROL, EVALUACIÓN Y MEJORA_V4</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hyperlink r:id="rId1">
        <w:r w:rsidDel="00000000" w:rsidR="00000000" w:rsidRPr="00000000">
          <w:rPr>
            <w:rFonts w:ascii="Arial" w:cs="Arial" w:eastAsia="Arial" w:hAnsi="Arial"/>
            <w:b w:val="0"/>
            <w:i w:val="0"/>
            <w:smallCaps w:val="0"/>
            <w:strike w:val="0"/>
            <w:color w:val="0000ff"/>
            <w:sz w:val="20"/>
            <w:szCs w:val="20"/>
            <w:highlight w:val="white"/>
            <w:u w:val="single"/>
            <w:vertAlign w:val="baseline"/>
            <w:rtl w:val="0"/>
          </w:rPr>
          <w:t xml:space="preserve">https://drive.google.com/drive/folders/1Uus9QbS3KaKxgO2iJOMJTTtm7QvFbvtj</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hyperlink r:id="rId2">
        <w:r w:rsidDel="00000000" w:rsidR="00000000" w:rsidRPr="00000000">
          <w:rPr>
            <w:rFonts w:ascii="Arial" w:cs="Arial" w:eastAsia="Arial" w:hAnsi="Arial"/>
            <w:b w:val="0"/>
            <w:i w:val="0"/>
            <w:smallCaps w:val="0"/>
            <w:strike w:val="0"/>
            <w:color w:val="1155cc"/>
            <w:sz w:val="20"/>
            <w:szCs w:val="20"/>
            <w:highlight w:val="white"/>
            <w:u w:val="single"/>
            <w:vertAlign w:val="baseline"/>
            <w:rtl w:val="0"/>
          </w:rPr>
          <w:t xml:space="preserve">https://drive.google.com/drive/folders/1xckcVRdjdfqjhebHHtJv6io8QRTkURGZ</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center"/>
      <w:rPr>
        <w:color w:val="000000"/>
      </w:rPr>
    </w:pPr>
    <w:r w:rsidDel="00000000" w:rsidR="00000000" w:rsidRPr="00000000">
      <w:rPr>
        <w:color w:val="000000"/>
      </w:rPr>
      <w:drawing>
        <wp:inline distB="0" distT="0" distL="0" distR="0">
          <wp:extent cx="1167247" cy="795381"/>
          <wp:effectExtent b="0" l="0" r="0" t="0"/>
          <wp:docPr descr="C:\Users\CASA\Downloads\Logo FORMATOS.jpg" id="5" name="image1.jpg"/>
          <a:graphic>
            <a:graphicData uri="http://schemas.openxmlformats.org/drawingml/2006/picture">
              <pic:pic>
                <pic:nvPicPr>
                  <pic:cNvPr descr="C:\Users\CASA\Downloads\Logo FORMATOS.jpg" id="0" name="image1.jpg"/>
                  <pic:cNvPicPr preferRelativeResize="0"/>
                </pic:nvPicPr>
                <pic:blipFill>
                  <a:blip r:embed="rId1"/>
                  <a:srcRect b="0" l="0" r="0" t="0"/>
                  <a:stretch>
                    <a:fillRect/>
                  </a:stretch>
                </pic:blipFill>
                <pic:spPr>
                  <a:xfrm>
                    <a:off x="0" y="0"/>
                    <a:ext cx="1167247" cy="795381"/>
                  </a:xfrm>
                  <a:prstGeom prst="rect"/>
                  <a:ln/>
                </pic:spPr>
              </pic:pic>
            </a:graphicData>
          </a:graphic>
        </wp:inline>
      </w:drawing>
    </w:r>
    <w:r w:rsidDel="00000000" w:rsidR="00000000" w:rsidRPr="00000000">
      <w:rPr>
        <w:rtl w:val="0"/>
      </w:rPr>
    </w:r>
  </w:p>
  <w:p w:rsidR="00000000" w:rsidDel="00000000" w:rsidP="00000000" w:rsidRDefault="00000000" w:rsidRPr="00000000" w14:paraId="000000D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D5">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PRUEBA DE AUDITORÍA</w:t>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western" w:customStyle="1">
    <w:name w:val="western"/>
    <w:basedOn w:val="Normal"/>
    <w:rsid w:val="00747988"/>
    <w:pPr>
      <w:spacing w:after="119" w:before="100" w:beforeAutospacing="1" w:line="276" w:lineRule="auto"/>
    </w:pPr>
    <w:rPr>
      <w:rFonts w:eastAsia="Times New Roman"/>
      <w:color w:val="000000"/>
    </w:rPr>
  </w:style>
  <w:style w:type="paragraph" w:styleId="Prrafodelista">
    <w:name w:val="List Paragraph"/>
    <w:basedOn w:val="Normal"/>
    <w:uiPriority w:val="34"/>
    <w:qFormat w:val="1"/>
    <w:rsid w:val="00416360"/>
    <w:pPr>
      <w:ind w:left="720"/>
      <w:contextualSpacing w:val="1"/>
    </w:pPr>
  </w:style>
  <w:style w:type="table" w:styleId="Tablaconcuadrcula">
    <w:name w:val="Table Grid"/>
    <w:basedOn w:val="Tablanormal"/>
    <w:uiPriority w:val="39"/>
    <w:rsid w:val="004C1D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nhideWhenUsed w:val="1"/>
    <w:rsid w:val="00002432"/>
    <w:pPr>
      <w:tabs>
        <w:tab w:val="center" w:pos="4419"/>
        <w:tab w:val="right" w:pos="8838"/>
      </w:tabs>
      <w:spacing w:after="0" w:line="240" w:lineRule="auto"/>
    </w:pPr>
  </w:style>
  <w:style w:type="character" w:styleId="EncabezadoCar" w:customStyle="1">
    <w:name w:val="Encabezado Car"/>
    <w:basedOn w:val="Fuentedeprrafopredeter"/>
    <w:link w:val="Encabezado"/>
    <w:rsid w:val="00002432"/>
  </w:style>
  <w:style w:type="paragraph" w:styleId="Piedepgina">
    <w:name w:val="footer"/>
    <w:basedOn w:val="Normal"/>
    <w:link w:val="PiedepginaCar"/>
    <w:uiPriority w:val="99"/>
    <w:unhideWhenUsed w:val="1"/>
    <w:rsid w:val="0000243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02432"/>
  </w:style>
  <w:style w:type="paragraph" w:styleId="Textonotapie">
    <w:name w:val="footnote text"/>
    <w:basedOn w:val="Normal"/>
    <w:link w:val="TextonotapieCar"/>
    <w:uiPriority w:val="99"/>
    <w:semiHidden w:val="1"/>
    <w:unhideWhenUsed w:val="1"/>
    <w:rsid w:val="00454C57"/>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454C57"/>
    <w:rPr>
      <w:sz w:val="20"/>
      <w:szCs w:val="20"/>
    </w:rPr>
  </w:style>
  <w:style w:type="character" w:styleId="Refdenotaalpie">
    <w:name w:val="footnote reference"/>
    <w:basedOn w:val="Fuentedeprrafopredeter"/>
    <w:uiPriority w:val="99"/>
    <w:semiHidden w:val="1"/>
    <w:unhideWhenUsed w:val="1"/>
    <w:rsid w:val="00454C57"/>
    <w:rPr>
      <w:vertAlign w:val="superscript"/>
    </w:rPr>
  </w:style>
  <w:style w:type="paragraph" w:styleId="Textodeglobo">
    <w:name w:val="Balloon Text"/>
    <w:basedOn w:val="Normal"/>
    <w:link w:val="TextodegloboCar"/>
    <w:uiPriority w:val="99"/>
    <w:semiHidden w:val="1"/>
    <w:unhideWhenUsed w:val="1"/>
    <w:rsid w:val="0056758E"/>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6758E"/>
    <w:rPr>
      <w:rFonts w:ascii="Segoe UI" w:cs="Segoe UI" w:hAnsi="Segoe UI"/>
      <w:sz w:val="18"/>
      <w:szCs w:val="18"/>
    </w:rPr>
  </w:style>
  <w:style w:type="paragraph" w:styleId="Sinespaciado">
    <w:name w:val="No Spacing"/>
    <w:uiPriority w:val="1"/>
    <w:qFormat w:val="1"/>
    <w:rsid w:val="007F79CB"/>
    <w:pPr>
      <w:spacing w:after="0" w:line="240" w:lineRule="auto"/>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4" w:customStyle="1">
    <w:basedOn w:val="TableNormal0"/>
    <w:tblPr>
      <w:tblStyleRowBandSize w:val="1"/>
      <w:tblStyleColBandSize w:val="1"/>
      <w:tblCellMar>
        <w:top w:w="0.0" w:type="dxa"/>
        <w:left w:w="115.0" w:type="dxa"/>
        <w:bottom w:w="0.0" w:type="dxa"/>
        <w:right w:w="115.0" w:type="dxa"/>
      </w:tblCellMar>
    </w:tblPr>
  </w:style>
  <w:style w:type="table" w:styleId="a5"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6"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7"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8"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9"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a"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b"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c"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d"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e"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 w:customStyle="1">
    <w:basedOn w:val="TableNormal0"/>
    <w:tblPr>
      <w:tblStyleRowBandSize w:val="1"/>
      <w:tblStyleColBandSize w:val="1"/>
      <w:tblCellMar>
        <w:top w:w="100.0" w:type="dxa"/>
        <w:left w:w="100.0" w:type="dxa"/>
        <w:bottom w:w="100.0" w:type="dxa"/>
        <w:right w:w="100.0" w:type="dxa"/>
      </w:tblCellMar>
    </w:tblPr>
  </w:style>
  <w:style w:type="table" w:styleId="af0" w:customStyle="1">
    <w:basedOn w:val="TableNormal0"/>
    <w:tblPr>
      <w:tblStyleRowBandSize w:val="1"/>
      <w:tblStyleColBandSize w:val="1"/>
      <w:tblCellMar>
        <w:top w:w="100.0" w:type="dxa"/>
        <w:left w:w="100.0" w:type="dxa"/>
        <w:bottom w:w="100.0" w:type="dxa"/>
        <w:right w:w="100.0" w:type="dxa"/>
      </w:tblCellMar>
    </w:tblPr>
  </w:style>
  <w:style w:type="table" w:styleId="af1" w:customStyle="1">
    <w:basedOn w:val="TableNormal0"/>
    <w:tblPr>
      <w:tblStyleRowBandSize w:val="1"/>
      <w:tblStyleColBandSize w:val="1"/>
      <w:tblCellMar>
        <w:top w:w="100.0" w:type="dxa"/>
        <w:left w:w="100.0" w:type="dxa"/>
        <w:bottom w:w="100.0" w:type="dxa"/>
        <w:right w:w="100.0" w:type="dxa"/>
      </w:tblCellMar>
    </w:tblPr>
  </w:style>
  <w:style w:type="table" w:styleId="af2"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3"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4"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5"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table" w:styleId="af6" w:customStyle="1">
    <w:basedOn w:val="TableNormal0"/>
    <w:pPr>
      <w:spacing w:after="0" w:line="240" w:lineRule="auto"/>
    </w:pPr>
    <w:tblPr>
      <w:tblStyleRowBandSize w:val="1"/>
      <w:tblStyleColBandSize w:val="1"/>
      <w:tblCellMar>
        <w:top w:w="0.0" w:type="dxa"/>
        <w:left w:w="108.0" w:type="dxa"/>
        <w:bottom w:w="0.0" w:type="dxa"/>
        <w:right w:w="108.0" w:type="dxa"/>
      </w:tblCellMar>
    </w:tblPr>
  </w:style>
  <w:style w:type="character" w:styleId="Hipervnculo">
    <w:name w:val="Hyperlink"/>
    <w:basedOn w:val="Fuentedeprrafopredeter"/>
    <w:uiPriority w:val="99"/>
    <w:unhideWhenUsed w:val="1"/>
    <w:rsid w:val="0047011E"/>
    <w:rPr>
      <w:color w:val="0000ff"/>
      <w:u w:val="single"/>
    </w:rPr>
  </w:style>
  <w:style w:type="character" w:styleId="Mencinsinresolver">
    <w:name w:val="Unresolved Mention"/>
    <w:basedOn w:val="Fuentedeprrafopredeter"/>
    <w:uiPriority w:val="99"/>
    <w:semiHidden w:val="1"/>
    <w:unhideWhenUsed w:val="1"/>
    <w:rsid w:val="00EE564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drive/folders/1Uus9QbS3KaKxgO2iJOMJTTtm7QvFbvtj" TargetMode="External"/><Relationship Id="rId2" Type="http://schemas.openxmlformats.org/officeDocument/2006/relationships/hyperlink" Target="https://drive.google.com/drive/folders/1xckcVRdjdfqjhebHHtJv6io8QRTkURG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csd0FXDYIQsVn6ef+7GeylLLJg==">CgMxLjAyCGguZ2pkZ3hzMg1oLm0zNXFhcHZqOTk5Mg1oLjJyamZsMXBya3ZpMg5oLms4bnQyNzd0MnIwZzIOaC5id3czZHJwZnAzbWQ4AHIhMU9uMHRCbGJmUVpiUE1vSTNDWGNQOVFsblFrSi1MeFly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2021-11-03T21:10:00Z</dcterms:created>
  <dc:creator>Armando Solano Robles</dc:creator>
</cp:coreProperties>
</file>