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FA0F" w14:textId="77777777" w:rsidR="0081729A" w:rsidRDefault="0081729A" w:rsidP="00523634">
      <w:pPr>
        <w:jc w:val="center"/>
        <w:rPr>
          <w:b/>
          <w:bCs/>
        </w:rPr>
      </w:pPr>
    </w:p>
    <w:p w14:paraId="5226429E" w14:textId="0BEAC90D" w:rsidR="00950F81" w:rsidRPr="0098117F" w:rsidRDefault="00950F81" w:rsidP="00523634">
      <w:pPr>
        <w:jc w:val="center"/>
        <w:rPr>
          <w:b/>
          <w:bCs/>
        </w:rPr>
      </w:pPr>
      <w:r w:rsidRPr="0098117F">
        <w:rPr>
          <w:b/>
          <w:bCs/>
        </w:rPr>
        <w:t xml:space="preserve">ADMINISTRACIÓN DE RIESGOS </w:t>
      </w:r>
      <w:r w:rsidR="00BD4A0E" w:rsidRPr="0098117F">
        <w:rPr>
          <w:b/>
          <w:bCs/>
        </w:rPr>
        <w:t xml:space="preserve">DE </w:t>
      </w:r>
      <w:r w:rsidR="00693203" w:rsidRPr="0098117F">
        <w:rPr>
          <w:b/>
          <w:bCs/>
        </w:rPr>
        <w:t>GESTIÓN</w:t>
      </w:r>
      <w:r w:rsidR="00BD4A0E" w:rsidRPr="0098117F">
        <w:rPr>
          <w:b/>
          <w:bCs/>
        </w:rPr>
        <w:t xml:space="preserve"> </w:t>
      </w:r>
      <w:r w:rsidR="00DF4771">
        <w:rPr>
          <w:b/>
          <w:bCs/>
        </w:rPr>
        <w:t xml:space="preserve">Y DE CORRUPCIÓN </w:t>
      </w:r>
      <w:r w:rsidRPr="0098117F">
        <w:rPr>
          <w:b/>
          <w:bCs/>
        </w:rPr>
        <w:t>EN EL I</w:t>
      </w:r>
      <w:r w:rsidR="00F76799" w:rsidRPr="0098117F">
        <w:rPr>
          <w:b/>
          <w:bCs/>
        </w:rPr>
        <w:t>NSTITUTO DISTRITAL DE RECREACIÓN Y DEPORTE</w:t>
      </w:r>
    </w:p>
    <w:p w14:paraId="4A87B3A4" w14:textId="6057744D" w:rsidR="00523634" w:rsidRPr="0098117F" w:rsidRDefault="00523634" w:rsidP="00523634">
      <w:pPr>
        <w:jc w:val="center"/>
        <w:rPr>
          <w:b/>
          <w:bCs/>
        </w:rPr>
      </w:pPr>
      <w:r w:rsidRPr="0098117F">
        <w:rPr>
          <w:b/>
          <w:bCs/>
        </w:rPr>
        <w:t>SEGUNDA LÍNEA DE DEFENSA</w:t>
      </w:r>
    </w:p>
    <w:p w14:paraId="0EF53A27" w14:textId="29D1D15B" w:rsidR="006A64B8" w:rsidRPr="0098117F" w:rsidRDefault="00902B45" w:rsidP="00523634">
      <w:pPr>
        <w:jc w:val="center"/>
        <w:rPr>
          <w:b/>
          <w:bCs/>
        </w:rPr>
      </w:pPr>
      <w:r w:rsidRPr="009452F9">
        <w:rPr>
          <w:b/>
          <w:bCs/>
        </w:rPr>
        <w:t xml:space="preserve">CUARTO </w:t>
      </w:r>
      <w:r w:rsidR="006A64B8" w:rsidRPr="009452F9">
        <w:rPr>
          <w:b/>
          <w:bCs/>
        </w:rPr>
        <w:t>TRIMES</w:t>
      </w:r>
      <w:r w:rsidR="006A64B8" w:rsidRPr="0098117F">
        <w:rPr>
          <w:b/>
          <w:bCs/>
        </w:rPr>
        <w:t>TRE</w:t>
      </w:r>
      <w:r w:rsidR="00D803BD">
        <w:rPr>
          <w:b/>
          <w:bCs/>
        </w:rPr>
        <w:t xml:space="preserve"> DE 2025</w:t>
      </w:r>
    </w:p>
    <w:p w14:paraId="7E601D36" w14:textId="0C2F2F5D" w:rsidR="00523634" w:rsidRPr="0098117F" w:rsidRDefault="00523634" w:rsidP="00576463">
      <w:pPr>
        <w:pStyle w:val="Prrafodelista"/>
        <w:numPr>
          <w:ilvl w:val="0"/>
          <w:numId w:val="1"/>
        </w:numPr>
        <w:ind w:left="142" w:hanging="142"/>
        <w:rPr>
          <w:b/>
          <w:bCs/>
        </w:rPr>
      </w:pPr>
      <w:r w:rsidRPr="0098117F">
        <w:rPr>
          <w:b/>
          <w:bCs/>
        </w:rPr>
        <w:t xml:space="preserve">Introducción </w:t>
      </w:r>
    </w:p>
    <w:p w14:paraId="76F47ED9" w14:textId="61E3A7FE" w:rsidR="00B63BCF" w:rsidRPr="0098117F" w:rsidRDefault="00523634" w:rsidP="00523634">
      <w:pPr>
        <w:jc w:val="both"/>
      </w:pPr>
      <w:r w:rsidRPr="0098117F">
        <w:t xml:space="preserve">En el marco de la Política de Administración de Riesgos en el Instituto Distrital de Recreación y Deporte, versión </w:t>
      </w:r>
      <w:r w:rsidR="006A64B8" w:rsidRPr="0098117F">
        <w:t>7</w:t>
      </w:r>
      <w:r w:rsidRPr="0098117F">
        <w:t xml:space="preserve"> de</w:t>
      </w:r>
      <w:r w:rsidR="00022416" w:rsidRPr="0098117F">
        <w:t xml:space="preserve"> </w:t>
      </w:r>
      <w:r w:rsidR="006A64B8" w:rsidRPr="0098117F">
        <w:t xml:space="preserve">junio </w:t>
      </w:r>
      <w:r w:rsidRPr="0098117F">
        <w:t>de 202</w:t>
      </w:r>
      <w:r w:rsidR="006A64B8" w:rsidRPr="0098117F">
        <w:t>4</w:t>
      </w:r>
      <w:r w:rsidRPr="0098117F">
        <w:t xml:space="preserve">, </w:t>
      </w:r>
      <w:r w:rsidR="003255D5" w:rsidRPr="0098117F">
        <w:t xml:space="preserve">la Oficina Asesora de Planeación, </w:t>
      </w:r>
      <w:r w:rsidR="00715426" w:rsidRPr="0098117F">
        <w:t xml:space="preserve">en su rol de segunda línea de defensa, </w:t>
      </w:r>
      <w:r w:rsidR="005D7202" w:rsidRPr="0098117F">
        <w:t xml:space="preserve">debe realizar monitoreo a los controles, planes de acción e indicadores de los riesgos </w:t>
      </w:r>
      <w:r w:rsidR="00BD4A0E" w:rsidRPr="0098117F">
        <w:t xml:space="preserve">de </w:t>
      </w:r>
      <w:r w:rsidR="00693203" w:rsidRPr="0098117F">
        <w:t>gestión</w:t>
      </w:r>
      <w:r w:rsidR="00BD4A0E" w:rsidRPr="0098117F">
        <w:t xml:space="preserve"> </w:t>
      </w:r>
      <w:r w:rsidR="005D7202" w:rsidRPr="0098117F">
        <w:t xml:space="preserve">de los procesos, </w:t>
      </w:r>
      <w:r w:rsidR="00DE4798" w:rsidRPr="0098117F">
        <w:t xml:space="preserve">a fin de conocer los resultados </w:t>
      </w:r>
      <w:r w:rsidR="00E93B08" w:rsidRPr="0098117F">
        <w:t>alcanzados en el período</w:t>
      </w:r>
      <w:r w:rsidR="007D30E7" w:rsidRPr="0098117F">
        <w:t xml:space="preserve">, </w:t>
      </w:r>
      <w:r w:rsidR="00E93B08" w:rsidRPr="0098117F">
        <w:t>concluir si se</w:t>
      </w:r>
      <w:r w:rsidR="003C4035" w:rsidRPr="0098117F">
        <w:t xml:space="preserve"> han</w:t>
      </w:r>
      <w:r w:rsidR="00E93B08" w:rsidRPr="0098117F">
        <w:t xml:space="preserve"> </w:t>
      </w:r>
      <w:r w:rsidR="00B63BCF" w:rsidRPr="0098117F">
        <w:t>implementado conforme a lo establecido</w:t>
      </w:r>
      <w:r w:rsidR="007D30E7" w:rsidRPr="0098117F">
        <w:t xml:space="preserve"> y </w:t>
      </w:r>
      <w:r w:rsidR="00232A60" w:rsidRPr="0098117F">
        <w:t>determinar</w:t>
      </w:r>
      <w:r w:rsidR="007D30E7" w:rsidRPr="0098117F">
        <w:t xml:space="preserve"> oportun</w:t>
      </w:r>
      <w:r w:rsidR="00C10A52" w:rsidRPr="0098117F">
        <w:t xml:space="preserve">idades de mejora. </w:t>
      </w:r>
    </w:p>
    <w:p w14:paraId="55A53C96" w14:textId="19D8EFD1" w:rsidR="00523634" w:rsidRPr="0098117F" w:rsidRDefault="00C77BD6" w:rsidP="00523634">
      <w:pPr>
        <w:jc w:val="both"/>
      </w:pPr>
      <w:r w:rsidRPr="0098117F">
        <w:t xml:space="preserve">Este monitoreo </w:t>
      </w:r>
      <w:r w:rsidR="00881A1D" w:rsidRPr="0098117F">
        <w:t xml:space="preserve">se realiza </w:t>
      </w:r>
      <w:r w:rsidRPr="0098117F">
        <w:t xml:space="preserve">en las siguientes </w:t>
      </w:r>
      <w:r w:rsidR="00881A1D" w:rsidRPr="0098117F">
        <w:t>periodicidades</w:t>
      </w:r>
      <w:r w:rsidR="003C4035" w:rsidRPr="0098117F">
        <w:t>,</w:t>
      </w:r>
      <w:r w:rsidR="00881A1D" w:rsidRPr="0098117F">
        <w:t xml:space="preserve"> c</w:t>
      </w:r>
      <w:r w:rsidR="00761144" w:rsidRPr="0098117F">
        <w:t xml:space="preserve">uyos </w:t>
      </w:r>
      <w:r w:rsidR="00881A1D" w:rsidRPr="0098117F">
        <w:t>objetivos particulares</w:t>
      </w:r>
      <w:r w:rsidRPr="0098117F">
        <w:t>, son:</w:t>
      </w:r>
    </w:p>
    <w:p w14:paraId="0C4D3271" w14:textId="77777777" w:rsidR="0029463E" w:rsidRPr="0098117F" w:rsidRDefault="0029463E" w:rsidP="0029463E">
      <w:pPr>
        <w:pStyle w:val="Textoindependiente"/>
        <w:rPr>
          <w:rFonts w:asciiTheme="minorHAnsi" w:eastAsiaTheme="minorHAnsi" w:hAnsiTheme="minorHAnsi" w:cstheme="minorBidi"/>
          <w:kern w:val="2"/>
          <w:sz w:val="22"/>
          <w:szCs w:val="22"/>
          <w:lang w:val="es-CO"/>
          <w14:ligatures w14:val="standardContextual"/>
        </w:rPr>
      </w:pPr>
    </w:p>
    <w:p w14:paraId="0894BEF8" w14:textId="77777777" w:rsidR="0029463E" w:rsidRPr="0098117F" w:rsidRDefault="0029463E" w:rsidP="0029463E">
      <w:pPr>
        <w:pStyle w:val="Prrafodelista"/>
        <w:widowControl w:val="0"/>
        <w:numPr>
          <w:ilvl w:val="2"/>
          <w:numId w:val="8"/>
        </w:numPr>
        <w:tabs>
          <w:tab w:val="left" w:pos="996"/>
        </w:tabs>
        <w:autoSpaceDE w:val="0"/>
        <w:autoSpaceDN w:val="0"/>
        <w:spacing w:after="0" w:line="240" w:lineRule="auto"/>
        <w:ind w:left="996" w:hanging="356"/>
        <w:contextualSpacing w:val="0"/>
      </w:pPr>
      <w:r w:rsidRPr="0098117F">
        <w:rPr>
          <w:b/>
          <w:bCs/>
        </w:rPr>
        <w:t>Mensualmente</w:t>
      </w:r>
      <w:r w:rsidRPr="0098117F">
        <w:t xml:space="preserve"> a través de la consulta en la plataforma ISOLUCION:</w:t>
      </w:r>
    </w:p>
    <w:p w14:paraId="4D6EE01F" w14:textId="77777777" w:rsidR="0029463E" w:rsidRPr="0098117F" w:rsidRDefault="0029463E" w:rsidP="0029463E">
      <w:pPr>
        <w:pStyle w:val="Textoindependiente"/>
        <w:spacing w:before="3"/>
        <w:rPr>
          <w:rFonts w:asciiTheme="minorHAnsi" w:eastAsiaTheme="minorHAnsi" w:hAnsiTheme="minorHAnsi" w:cstheme="minorBidi"/>
          <w:kern w:val="2"/>
          <w:sz w:val="22"/>
          <w:szCs w:val="22"/>
          <w:lang w:val="es-CO"/>
          <w14:ligatures w14:val="standardContextual"/>
        </w:rPr>
      </w:pPr>
    </w:p>
    <w:p w14:paraId="3198EFA9" w14:textId="77777777" w:rsidR="0029463E" w:rsidRPr="0098117F" w:rsidRDefault="0029463E" w:rsidP="0029463E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50"/>
        <w:contextualSpacing w:val="0"/>
        <w:jc w:val="both"/>
      </w:pPr>
      <w:r w:rsidRPr="0098117F">
        <w:t>Verificación de la implementación de las actividades establecidas en los planes de acción (matrices de riesgos) en las fechas establecidas.</w:t>
      </w:r>
    </w:p>
    <w:p w14:paraId="532EFD89" w14:textId="77777777" w:rsidR="0029463E" w:rsidRPr="0098117F" w:rsidRDefault="0029463E" w:rsidP="0029463E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44"/>
        <w:contextualSpacing w:val="0"/>
        <w:jc w:val="both"/>
      </w:pPr>
      <w:r w:rsidRPr="0098117F">
        <w:t>Cargue adecuado, completo y coherente de las evidencias de acuerdo con la información establecida en los planes de acción.</w:t>
      </w:r>
    </w:p>
    <w:p w14:paraId="4F0A0CC2" w14:textId="2F2EA19D" w:rsidR="003470FA" w:rsidRPr="0098117F" w:rsidRDefault="0029463E" w:rsidP="003470FA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44"/>
        <w:contextualSpacing w:val="0"/>
        <w:jc w:val="both"/>
      </w:pPr>
      <w:r w:rsidRPr="0098117F">
        <w:t xml:space="preserve">Verificación de la información de mediciones de los indicadores y revisión de resultados para evaluar si el riesgo se ha materializado. Si el indicador se incumple se procede </w:t>
      </w:r>
      <w:proofErr w:type="gramStart"/>
      <w:r w:rsidRPr="0098117F">
        <w:t xml:space="preserve">a </w:t>
      </w:r>
      <w:r w:rsidR="009452F9">
        <w:t xml:space="preserve"> </w:t>
      </w:r>
      <w:proofErr w:type="spellStart"/>
      <w:r w:rsidRPr="0098117F">
        <w:t>ectiva</w:t>
      </w:r>
      <w:proofErr w:type="spellEnd"/>
      <w:proofErr w:type="gramEnd"/>
      <w:r w:rsidRPr="0098117F">
        <w:t xml:space="preserve"> acción correctiva.</w:t>
      </w:r>
    </w:p>
    <w:p w14:paraId="1DB519CF" w14:textId="54BB89FA" w:rsidR="009765A3" w:rsidRPr="009452F9" w:rsidRDefault="003470FA" w:rsidP="003470FA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44"/>
        <w:contextualSpacing w:val="0"/>
        <w:jc w:val="both"/>
      </w:pPr>
      <w:r w:rsidRPr="009452F9">
        <w:rPr>
          <w:rFonts w:ascii="Calibri" w:hAnsi="Calibri" w:cs="Calibri"/>
          <w:shd w:val="clear" w:color="auto" w:fill="F3F3F3"/>
        </w:rPr>
        <w:t>Revisión de</w:t>
      </w:r>
      <w:r w:rsidR="009765A3" w:rsidRPr="009452F9">
        <w:rPr>
          <w:rFonts w:ascii="Calibri" w:hAnsi="Calibri" w:cs="Calibri"/>
          <w:shd w:val="clear" w:color="auto" w:fill="F3F3F3"/>
        </w:rPr>
        <w:t xml:space="preserve"> las evidencias y la coherencia con los indicadores formulados</w:t>
      </w:r>
    </w:p>
    <w:p w14:paraId="21182FA9" w14:textId="77777777" w:rsidR="009765A3" w:rsidRPr="0098117F" w:rsidRDefault="009765A3" w:rsidP="009765A3">
      <w:pPr>
        <w:pStyle w:val="Prrafodelista"/>
        <w:widowControl w:val="0"/>
        <w:tabs>
          <w:tab w:val="left" w:pos="1396"/>
        </w:tabs>
        <w:autoSpaceDE w:val="0"/>
        <w:autoSpaceDN w:val="0"/>
        <w:spacing w:after="0" w:line="240" w:lineRule="auto"/>
        <w:ind w:left="479" w:right="944"/>
        <w:contextualSpacing w:val="0"/>
      </w:pPr>
    </w:p>
    <w:p w14:paraId="60361E87" w14:textId="77777777" w:rsidR="0029463E" w:rsidRPr="0098117F" w:rsidRDefault="0029463E" w:rsidP="0029463E">
      <w:pPr>
        <w:pStyle w:val="Prrafodelista"/>
        <w:widowControl w:val="0"/>
        <w:tabs>
          <w:tab w:val="left" w:pos="997"/>
        </w:tabs>
        <w:autoSpaceDE w:val="0"/>
        <w:autoSpaceDN w:val="0"/>
        <w:spacing w:after="0" w:line="240" w:lineRule="auto"/>
        <w:ind w:left="997"/>
        <w:contextualSpacing w:val="0"/>
      </w:pPr>
    </w:p>
    <w:p w14:paraId="1A71D3EC" w14:textId="1D4E4EEA" w:rsidR="0029463E" w:rsidRPr="0098117F" w:rsidRDefault="0029463E" w:rsidP="0029463E">
      <w:pPr>
        <w:pStyle w:val="Prrafodelista"/>
        <w:widowControl w:val="0"/>
        <w:numPr>
          <w:ilvl w:val="2"/>
          <w:numId w:val="8"/>
        </w:numPr>
        <w:tabs>
          <w:tab w:val="left" w:pos="997"/>
        </w:tabs>
        <w:autoSpaceDE w:val="0"/>
        <w:autoSpaceDN w:val="0"/>
        <w:spacing w:after="0" w:line="240" w:lineRule="auto"/>
        <w:ind w:left="997" w:hanging="357"/>
        <w:contextualSpacing w:val="0"/>
      </w:pPr>
      <w:r w:rsidRPr="0098117F">
        <w:rPr>
          <w:b/>
          <w:bCs/>
        </w:rPr>
        <w:t>Trimestralmente</w:t>
      </w:r>
      <w:r w:rsidRPr="0098117F">
        <w:t xml:space="preserve"> a través de revisiones presenciales o virtuales con los procesos:</w:t>
      </w:r>
    </w:p>
    <w:p w14:paraId="1BDBC88C" w14:textId="77777777" w:rsidR="0029463E" w:rsidRPr="0098117F" w:rsidRDefault="0029463E" w:rsidP="0029463E">
      <w:pPr>
        <w:pStyle w:val="Textoindependiente"/>
        <w:rPr>
          <w:rFonts w:asciiTheme="minorHAnsi" w:eastAsiaTheme="minorHAnsi" w:hAnsiTheme="minorHAnsi" w:cstheme="minorBidi"/>
          <w:kern w:val="2"/>
          <w:sz w:val="22"/>
          <w:szCs w:val="22"/>
          <w:lang w:val="es-CO"/>
          <w14:ligatures w14:val="standardContextual"/>
        </w:rPr>
      </w:pPr>
    </w:p>
    <w:p w14:paraId="59A96518" w14:textId="77777777" w:rsidR="0029463E" w:rsidRPr="0098117F" w:rsidRDefault="0029463E" w:rsidP="0029463E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36"/>
        <w:contextualSpacing w:val="0"/>
        <w:jc w:val="both"/>
      </w:pPr>
      <w:r w:rsidRPr="0098117F">
        <w:t>Seguimiento a la ejecución y eficacia de los controles mediante la verificación de las evidencias establecidas en los mapas de riesgos y el cumplimiento del propósito para el cual fueron creadas.</w:t>
      </w:r>
    </w:p>
    <w:p w14:paraId="5EA5756E" w14:textId="77777777" w:rsidR="00CA45E3" w:rsidRPr="0098117F" w:rsidRDefault="0029463E" w:rsidP="00CA45E3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44"/>
        <w:contextualSpacing w:val="0"/>
        <w:jc w:val="both"/>
      </w:pPr>
      <w:r w:rsidRPr="0098117F">
        <w:t>Evaluación de la necesidad de ajustar las matrices como resultado de la implementación de controles, planes de acción y análisis de indicadores de riesgos.</w:t>
      </w:r>
    </w:p>
    <w:p w14:paraId="7CA9957F" w14:textId="73AAFABA" w:rsidR="00CA45E3" w:rsidRPr="0098117F" w:rsidRDefault="001609DE" w:rsidP="00CA45E3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44"/>
        <w:contextualSpacing w:val="0"/>
        <w:jc w:val="both"/>
      </w:pPr>
      <w:r w:rsidRPr="0098117F">
        <w:rPr>
          <w:rFonts w:ascii="Calibri" w:hAnsi="Calibri" w:cs="Calibri"/>
          <w:shd w:val="clear" w:color="auto" w:fill="F3F3F3"/>
        </w:rPr>
        <w:t>R</w:t>
      </w:r>
      <w:r w:rsidR="00CA45E3" w:rsidRPr="0098117F">
        <w:rPr>
          <w:rFonts w:ascii="Calibri" w:hAnsi="Calibri" w:cs="Calibri"/>
          <w:shd w:val="clear" w:color="auto" w:fill="F3F3F3"/>
        </w:rPr>
        <w:t>evis</w:t>
      </w:r>
      <w:r w:rsidRPr="0098117F">
        <w:rPr>
          <w:rFonts w:ascii="Calibri" w:hAnsi="Calibri" w:cs="Calibri"/>
          <w:shd w:val="clear" w:color="auto" w:fill="F3F3F3"/>
        </w:rPr>
        <w:t xml:space="preserve">ión de </w:t>
      </w:r>
      <w:r w:rsidR="00EA66D6" w:rsidRPr="0098117F">
        <w:rPr>
          <w:rFonts w:ascii="Calibri" w:hAnsi="Calibri" w:cs="Calibri"/>
          <w:shd w:val="clear" w:color="auto" w:fill="F3F3F3"/>
        </w:rPr>
        <w:t xml:space="preserve">las acciones tomadas de las </w:t>
      </w:r>
      <w:r w:rsidR="00CA45E3" w:rsidRPr="0098117F">
        <w:rPr>
          <w:rFonts w:ascii="Calibri" w:hAnsi="Calibri" w:cs="Calibri"/>
          <w:shd w:val="clear" w:color="auto" w:fill="F3F3F3"/>
        </w:rPr>
        <w:t xml:space="preserve">observaciones </w:t>
      </w:r>
      <w:r w:rsidR="00EA66D6" w:rsidRPr="0098117F">
        <w:rPr>
          <w:rFonts w:ascii="Calibri" w:hAnsi="Calibri" w:cs="Calibri"/>
          <w:shd w:val="clear" w:color="auto" w:fill="F3F3F3"/>
        </w:rPr>
        <w:t>generadas</w:t>
      </w:r>
      <w:r w:rsidR="00CA45E3" w:rsidRPr="0098117F">
        <w:rPr>
          <w:rFonts w:ascii="Calibri" w:hAnsi="Calibri" w:cs="Calibri"/>
          <w:shd w:val="clear" w:color="auto" w:fill="F3F3F3"/>
        </w:rPr>
        <w:t xml:space="preserve"> </w:t>
      </w:r>
      <w:r w:rsidR="00EA66D6" w:rsidRPr="0098117F">
        <w:rPr>
          <w:rFonts w:ascii="Calibri" w:hAnsi="Calibri" w:cs="Calibri"/>
          <w:shd w:val="clear" w:color="auto" w:fill="F3F3F3"/>
        </w:rPr>
        <w:t xml:space="preserve">en el monitoreo anterior. </w:t>
      </w:r>
    </w:p>
    <w:p w14:paraId="1671F684" w14:textId="77777777" w:rsidR="00CA45E3" w:rsidRPr="0098117F" w:rsidRDefault="00CA45E3" w:rsidP="00EA66D6">
      <w:pPr>
        <w:pStyle w:val="Prrafodelista"/>
        <w:widowControl w:val="0"/>
        <w:tabs>
          <w:tab w:val="left" w:pos="1396"/>
        </w:tabs>
        <w:autoSpaceDE w:val="0"/>
        <w:autoSpaceDN w:val="0"/>
        <w:spacing w:after="0" w:line="240" w:lineRule="auto"/>
        <w:ind w:left="1396" w:right="944"/>
        <w:contextualSpacing w:val="0"/>
      </w:pPr>
    </w:p>
    <w:p w14:paraId="6022D6BA" w14:textId="72AA21CF" w:rsidR="00C56870" w:rsidRPr="0098117F" w:rsidRDefault="00C56870" w:rsidP="00C56870">
      <w:pPr>
        <w:jc w:val="both"/>
      </w:pPr>
      <w:r w:rsidRPr="0098117F">
        <w:t xml:space="preserve">Este informe </w:t>
      </w:r>
      <w:r w:rsidR="00E60D76" w:rsidRPr="0098117F">
        <w:t xml:space="preserve">presenta los resultados de la verificación trimestral </w:t>
      </w:r>
      <w:r w:rsidR="006A6349" w:rsidRPr="0098117F">
        <w:t xml:space="preserve">que se realizaron a los controles </w:t>
      </w:r>
      <w:r w:rsidR="00762B4A" w:rsidRPr="0098117F">
        <w:t xml:space="preserve">de cada uno de los </w:t>
      </w:r>
      <w:r w:rsidR="00604DF9" w:rsidRPr="0098117F">
        <w:t>riesgos de</w:t>
      </w:r>
      <w:r w:rsidR="00CD2529" w:rsidRPr="0098117F">
        <w:t xml:space="preserve"> </w:t>
      </w:r>
      <w:r w:rsidR="00832729">
        <w:t xml:space="preserve">gestión y de </w:t>
      </w:r>
      <w:r w:rsidR="00CD2529" w:rsidRPr="0098117F">
        <w:t>corrupción</w:t>
      </w:r>
      <w:r w:rsidR="00A33C6E" w:rsidRPr="0098117F">
        <w:t xml:space="preserve"> que</w:t>
      </w:r>
      <w:r w:rsidR="0089571B" w:rsidRPr="0098117F">
        <w:t xml:space="preserve"> hacen parte del sistema de gestión del IDRD. </w:t>
      </w:r>
      <w:r w:rsidR="00A72218" w:rsidRPr="0098117F">
        <w:t>Para ello se realizaron reuniones</w:t>
      </w:r>
      <w:r w:rsidR="006C5951" w:rsidRPr="0098117F">
        <w:t xml:space="preserve"> </w:t>
      </w:r>
      <w:r w:rsidR="00EA447B" w:rsidRPr="0098117F">
        <w:t xml:space="preserve">por parte de la Oficina Asesora de Planeación </w:t>
      </w:r>
      <w:r w:rsidR="006C5951" w:rsidRPr="0098117F">
        <w:t xml:space="preserve">con los profesionales responsables </w:t>
      </w:r>
      <w:r w:rsidR="00832729">
        <w:t xml:space="preserve">de </w:t>
      </w:r>
      <w:r w:rsidR="00EA447B" w:rsidRPr="0098117F">
        <w:t xml:space="preserve">coordinar la gestión del riesgo en </w:t>
      </w:r>
      <w:r w:rsidR="00B11BA2" w:rsidRPr="0098117F">
        <w:t xml:space="preserve">cada uno de </w:t>
      </w:r>
      <w:r w:rsidR="00EA447B" w:rsidRPr="0098117F">
        <w:t>los procesos</w:t>
      </w:r>
      <w:r w:rsidR="003C6200" w:rsidRPr="0098117F">
        <w:t>,</w:t>
      </w:r>
      <w:r w:rsidR="00B11BA2" w:rsidRPr="0098117F">
        <w:t xml:space="preserve"> solicitando las evidencias que respaldan la implementación de los controles. </w:t>
      </w:r>
    </w:p>
    <w:p w14:paraId="4FBA1016" w14:textId="52D0317D" w:rsidR="004814A2" w:rsidRPr="0098117F" w:rsidRDefault="00D00C21" w:rsidP="004814A2">
      <w:pPr>
        <w:jc w:val="both"/>
      </w:pPr>
      <w:r w:rsidRPr="0098117F">
        <w:lastRenderedPageBreak/>
        <w:t>L</w:t>
      </w:r>
      <w:r w:rsidR="00CA0822" w:rsidRPr="0098117F">
        <w:t>a</w:t>
      </w:r>
      <w:r w:rsidR="00606C4F" w:rsidRPr="0098117F">
        <w:t xml:space="preserve">s </w:t>
      </w:r>
      <w:r w:rsidR="00CA0822" w:rsidRPr="0098117F">
        <w:t xml:space="preserve">conclusiones y </w:t>
      </w:r>
      <w:r w:rsidR="00957CDA" w:rsidRPr="0098117F">
        <w:t>decisione</w:t>
      </w:r>
      <w:r w:rsidR="00CA0822" w:rsidRPr="0098117F">
        <w:t xml:space="preserve">s resultantes </w:t>
      </w:r>
      <w:r w:rsidR="00606C4F" w:rsidRPr="0098117F">
        <w:t>d</w:t>
      </w:r>
      <w:r w:rsidR="007B02E0" w:rsidRPr="0098117F">
        <w:t xml:space="preserve">e </w:t>
      </w:r>
      <w:r w:rsidR="006E6309" w:rsidRPr="0098117F">
        <w:t>este monitoreo se</w:t>
      </w:r>
      <w:r w:rsidR="00E666B9" w:rsidRPr="0098117F">
        <w:t xml:space="preserve"> presentan </w:t>
      </w:r>
      <w:r w:rsidR="004814A2" w:rsidRPr="0098117F">
        <w:t xml:space="preserve">en: </w:t>
      </w:r>
    </w:p>
    <w:p w14:paraId="5E90B9C8" w14:textId="77777777" w:rsidR="00957CDA" w:rsidRPr="0098117F" w:rsidRDefault="00E666B9" w:rsidP="00957CDA">
      <w:pPr>
        <w:pStyle w:val="Prrafodelista"/>
        <w:numPr>
          <w:ilvl w:val="0"/>
          <w:numId w:val="5"/>
        </w:numPr>
        <w:jc w:val="both"/>
      </w:pPr>
      <w:r w:rsidRPr="0098117F">
        <w:t>Matrices de riesgos de</w:t>
      </w:r>
      <w:r w:rsidR="00C6427E" w:rsidRPr="0098117F">
        <w:t xml:space="preserve"> cada proceso</w:t>
      </w:r>
      <w:r w:rsidR="00DF19A2" w:rsidRPr="0098117F">
        <w:t xml:space="preserve"> </w:t>
      </w:r>
      <w:r w:rsidR="00216456" w:rsidRPr="0098117F">
        <w:t>(l</w:t>
      </w:r>
      <w:r w:rsidR="00C6427E" w:rsidRPr="0098117F">
        <w:t>a</w:t>
      </w:r>
      <w:r w:rsidR="00216456" w:rsidRPr="0098117F">
        <w:t xml:space="preserve">s cuales hace parte de este </w:t>
      </w:r>
      <w:r w:rsidR="009424A7" w:rsidRPr="0098117F">
        <w:t>informe)</w:t>
      </w:r>
      <w:r w:rsidR="00C6427E" w:rsidRPr="0098117F">
        <w:t xml:space="preserve"> en las que se han dispuesto columnas para </w:t>
      </w:r>
      <w:r w:rsidR="00F36B14" w:rsidRPr="0098117F">
        <w:t>registrar el nombre la evidencia revisada</w:t>
      </w:r>
      <w:r w:rsidR="008751AF" w:rsidRPr="0098117F">
        <w:t>, el detalle de lo revisado, así como las conclusiones de</w:t>
      </w:r>
      <w:r w:rsidR="00191E48" w:rsidRPr="0098117F">
        <w:t xml:space="preserve"> la información revisada. </w:t>
      </w:r>
    </w:p>
    <w:p w14:paraId="78F5AC6B" w14:textId="77777777" w:rsidR="00957CDA" w:rsidRPr="0098117F" w:rsidRDefault="00957CDA" w:rsidP="00957CDA">
      <w:pPr>
        <w:pStyle w:val="Prrafodelista"/>
        <w:jc w:val="both"/>
      </w:pPr>
    </w:p>
    <w:p w14:paraId="32DC0D01" w14:textId="71342829" w:rsidR="00191E48" w:rsidRPr="0098117F" w:rsidRDefault="004814A2" w:rsidP="00957CDA">
      <w:pPr>
        <w:pStyle w:val="Prrafodelista"/>
        <w:numPr>
          <w:ilvl w:val="0"/>
          <w:numId w:val="5"/>
        </w:numPr>
        <w:jc w:val="both"/>
      </w:pPr>
      <w:r w:rsidRPr="0098117F">
        <w:t xml:space="preserve">El presente documento en el cual se </w:t>
      </w:r>
      <w:r w:rsidR="005C1DF5" w:rsidRPr="0098117F">
        <w:t xml:space="preserve">establecen las conclusiones </w:t>
      </w:r>
      <w:r w:rsidR="000C5E91" w:rsidRPr="0098117F">
        <w:t>generale</w:t>
      </w:r>
      <w:r w:rsidR="005C1DF5" w:rsidRPr="0098117F">
        <w:t xml:space="preserve">s </w:t>
      </w:r>
      <w:r w:rsidR="000C5E91" w:rsidRPr="0098117F">
        <w:t xml:space="preserve">extraídas de un análisis transversal de comportamiento y situaciones </w:t>
      </w:r>
      <w:r w:rsidR="00345082" w:rsidRPr="0098117F">
        <w:t xml:space="preserve">vistas en todos los procesos. </w:t>
      </w:r>
    </w:p>
    <w:p w14:paraId="4A862160" w14:textId="35239564" w:rsidR="0086310F" w:rsidRPr="0098117F" w:rsidRDefault="00345082" w:rsidP="003C6200">
      <w:pPr>
        <w:jc w:val="both"/>
      </w:pPr>
      <w:r w:rsidRPr="0098117F">
        <w:t xml:space="preserve">Es importante aclarar </w:t>
      </w:r>
      <w:r w:rsidR="00E43472" w:rsidRPr="0098117F">
        <w:t xml:space="preserve">que </w:t>
      </w:r>
      <w:r w:rsidR="00566FF0" w:rsidRPr="0098117F">
        <w:t xml:space="preserve">los procesos deben tomar acciones de las </w:t>
      </w:r>
      <w:r w:rsidR="00F57294" w:rsidRPr="0098117F">
        <w:t>conc</w:t>
      </w:r>
      <w:r w:rsidR="0014590E" w:rsidRPr="0098117F">
        <w:t>l</w:t>
      </w:r>
      <w:r w:rsidR="00F57294" w:rsidRPr="0098117F">
        <w:t>usiones</w:t>
      </w:r>
      <w:r w:rsidR="00566FF0" w:rsidRPr="0098117F">
        <w:t xml:space="preserve"> </w:t>
      </w:r>
      <w:r w:rsidR="00591852" w:rsidRPr="0098117F">
        <w:t xml:space="preserve">y decisiones </w:t>
      </w:r>
      <w:r w:rsidR="00566FF0" w:rsidRPr="0098117F">
        <w:t>registradas</w:t>
      </w:r>
      <w:r w:rsidR="0014590E" w:rsidRPr="0098117F">
        <w:t>,</w:t>
      </w:r>
      <w:r w:rsidR="00566FF0" w:rsidRPr="0098117F">
        <w:t xml:space="preserve"> tanto en las matrices de riesgos</w:t>
      </w:r>
      <w:r w:rsidR="0014590E" w:rsidRPr="0098117F">
        <w:t>,</w:t>
      </w:r>
      <w:r w:rsidR="00566FF0" w:rsidRPr="0098117F">
        <w:t xml:space="preserve"> como e</w:t>
      </w:r>
      <w:r w:rsidR="001E46F5" w:rsidRPr="0098117F">
        <w:t>n las definidas en este informe</w:t>
      </w:r>
      <w:r w:rsidR="00591852" w:rsidRPr="0098117F">
        <w:t xml:space="preserve"> y comunicar</w:t>
      </w:r>
      <w:r w:rsidR="001E46F5" w:rsidRPr="0098117F">
        <w:t xml:space="preserve"> a la Oficina Asesora de P</w:t>
      </w:r>
      <w:r w:rsidR="00812DB5" w:rsidRPr="0098117F">
        <w:t>laneación</w:t>
      </w:r>
      <w:r w:rsidR="0014590E" w:rsidRPr="0098117F">
        <w:t xml:space="preserve"> sobre su </w:t>
      </w:r>
      <w:r w:rsidR="00CD2529" w:rsidRPr="0098117F">
        <w:t>implementación.</w:t>
      </w:r>
    </w:p>
    <w:p w14:paraId="09ABEF59" w14:textId="0CF96570" w:rsidR="003C6200" w:rsidRPr="0098117F" w:rsidRDefault="003F1CDE" w:rsidP="00576463">
      <w:pPr>
        <w:pStyle w:val="Prrafodelista"/>
        <w:numPr>
          <w:ilvl w:val="0"/>
          <w:numId w:val="1"/>
        </w:numPr>
        <w:ind w:hanging="720"/>
        <w:jc w:val="both"/>
        <w:rPr>
          <w:b/>
          <w:bCs/>
        </w:rPr>
      </w:pPr>
      <w:r w:rsidRPr="0098117F">
        <w:rPr>
          <w:b/>
          <w:bCs/>
        </w:rPr>
        <w:t>Información del monitoreo</w:t>
      </w:r>
      <w:r w:rsidR="00331E40" w:rsidRPr="0098117F">
        <w:rPr>
          <w:b/>
          <w:bCs/>
        </w:rPr>
        <w:t>:</w:t>
      </w:r>
    </w:p>
    <w:p w14:paraId="1C6FEC71" w14:textId="77777777" w:rsidR="00D15275" w:rsidRPr="0098117F" w:rsidRDefault="00D15275" w:rsidP="00D15275">
      <w:pPr>
        <w:pStyle w:val="Prrafodelista"/>
        <w:jc w:val="both"/>
        <w:rPr>
          <w:b/>
          <w:bCs/>
        </w:rPr>
      </w:pPr>
    </w:p>
    <w:p w14:paraId="42ACB8DB" w14:textId="7559884D" w:rsidR="00EB4435" w:rsidRPr="0098117F" w:rsidRDefault="00D15275" w:rsidP="00D15275">
      <w:pPr>
        <w:pStyle w:val="Prrafodelista"/>
        <w:numPr>
          <w:ilvl w:val="1"/>
          <w:numId w:val="1"/>
        </w:numPr>
        <w:jc w:val="both"/>
      </w:pPr>
      <w:r w:rsidRPr="0098117F">
        <w:rPr>
          <w:b/>
          <w:bCs/>
        </w:rPr>
        <w:t>Período evaluado:</w:t>
      </w:r>
      <w:r w:rsidRPr="0098117F">
        <w:t xml:space="preserve"> </w:t>
      </w:r>
      <w:r w:rsidR="00BC0D49" w:rsidRPr="0098117F">
        <w:t>correspondiente a</w:t>
      </w:r>
      <w:r w:rsidR="00EB4435" w:rsidRPr="0098117F">
        <w:t xml:space="preserve"> los meses </w:t>
      </w:r>
      <w:r w:rsidR="0013350C" w:rsidRPr="0098117F">
        <w:t>de</w:t>
      </w:r>
      <w:r w:rsidR="0013350C">
        <w:t xml:space="preserve"> </w:t>
      </w:r>
      <w:r w:rsidR="001A4D1A">
        <w:t>octubre, noviembre y diciembre</w:t>
      </w:r>
      <w:r w:rsidR="0013350C">
        <w:t xml:space="preserve"> </w:t>
      </w:r>
      <w:r w:rsidR="004D5AD3" w:rsidRPr="0098117F">
        <w:t>de</w:t>
      </w:r>
      <w:r w:rsidR="00EB4435" w:rsidRPr="0098117F">
        <w:t xml:space="preserve"> 202</w:t>
      </w:r>
      <w:r w:rsidR="00D803BD">
        <w:t>5</w:t>
      </w:r>
    </w:p>
    <w:p w14:paraId="3AC4BF07" w14:textId="7B783DB5" w:rsidR="00D15275" w:rsidRDefault="00686199" w:rsidP="00E12A1E">
      <w:pPr>
        <w:pStyle w:val="Prrafodelista"/>
        <w:numPr>
          <w:ilvl w:val="1"/>
          <w:numId w:val="1"/>
        </w:numPr>
        <w:jc w:val="both"/>
      </w:pPr>
      <w:r w:rsidRPr="0098117F">
        <w:rPr>
          <w:b/>
          <w:bCs/>
        </w:rPr>
        <w:t>Número de procesos evaluados:</w:t>
      </w:r>
      <w:r w:rsidRPr="0098117F">
        <w:t xml:space="preserve"> </w:t>
      </w:r>
      <w:r w:rsidRPr="0013350C">
        <w:t>1</w:t>
      </w:r>
      <w:r w:rsidR="00933E2D" w:rsidRPr="0013350C">
        <w:t>6</w:t>
      </w:r>
      <w:r w:rsidR="00E85EC9" w:rsidRPr="0013350C">
        <w:t xml:space="preserve"> </w:t>
      </w:r>
      <w:r w:rsidR="00D45AF3" w:rsidRPr="0013350C">
        <w:t>procesos</w:t>
      </w:r>
      <w:r w:rsidR="00487601" w:rsidRPr="0013350C">
        <w:t xml:space="preserve"> para riesgos de gestión/ 13 procesos para riesgos de corrupción</w:t>
      </w:r>
      <w:r w:rsidR="00C22D6B" w:rsidRPr="0013350C">
        <w:t xml:space="preserve">/ </w:t>
      </w:r>
      <w:r w:rsidR="004C784F" w:rsidRPr="0013350C">
        <w:t>6</w:t>
      </w:r>
      <w:r w:rsidR="00C22D6B" w:rsidRPr="0013350C">
        <w:t xml:space="preserve"> </w:t>
      </w:r>
      <w:r w:rsidR="00120638" w:rsidRPr="0013350C">
        <w:t xml:space="preserve">para los </w:t>
      </w:r>
      <w:r w:rsidR="00C22D6B" w:rsidRPr="0013350C">
        <w:t>riesgo</w:t>
      </w:r>
      <w:r w:rsidR="00437345" w:rsidRPr="0013350C">
        <w:t>s</w:t>
      </w:r>
      <w:r w:rsidR="00C22D6B" w:rsidRPr="0013350C">
        <w:t xml:space="preserve"> fiscales</w:t>
      </w:r>
      <w:r w:rsidR="00804651" w:rsidRPr="0013350C">
        <w:t>.</w:t>
      </w:r>
    </w:p>
    <w:p w14:paraId="653FC552" w14:textId="00E1A5CA" w:rsidR="006165E5" w:rsidRPr="009452F9" w:rsidRDefault="006165E5" w:rsidP="00E12A1E">
      <w:pPr>
        <w:pStyle w:val="Prrafodelista"/>
        <w:numPr>
          <w:ilvl w:val="1"/>
          <w:numId w:val="1"/>
        </w:numPr>
        <w:jc w:val="both"/>
      </w:pPr>
      <w:r w:rsidRPr="009452F9">
        <w:rPr>
          <w:b/>
          <w:bCs/>
        </w:rPr>
        <w:t>Riesgos y controles revisados:</w:t>
      </w:r>
      <w:r w:rsidRPr="009452F9">
        <w:t xml:space="preserve"> Se realizó muestreo de los riesgos y de los controles en cada proceso </w:t>
      </w:r>
      <w:r w:rsidR="00BC7DE8" w:rsidRPr="009452F9">
        <w:t xml:space="preserve">a razón de las necesidades de la tercera línea de defensa de contar con estos resultados de manera prioritaria y de la capacidad limitada de la segunda línea de defensa por reducción de personal que realiza esta tarea. </w:t>
      </w:r>
    </w:p>
    <w:p w14:paraId="49072FE5" w14:textId="519239DA" w:rsidR="00686199" w:rsidRPr="00C22D6B" w:rsidRDefault="00A24D25" w:rsidP="00D15275">
      <w:pPr>
        <w:pStyle w:val="Prrafodelista"/>
        <w:numPr>
          <w:ilvl w:val="1"/>
          <w:numId w:val="1"/>
        </w:numPr>
        <w:jc w:val="both"/>
      </w:pPr>
      <w:r w:rsidRPr="0098117F">
        <w:rPr>
          <w:b/>
          <w:bCs/>
        </w:rPr>
        <w:t xml:space="preserve">Fecha de inicio/ fin del monitoreo: </w:t>
      </w:r>
      <w:r w:rsidR="003A5727">
        <w:t>22 diciembre</w:t>
      </w:r>
      <w:r w:rsidR="00D803BD" w:rsidRPr="0013350C">
        <w:t xml:space="preserve"> </w:t>
      </w:r>
      <w:r w:rsidR="003A5727">
        <w:t xml:space="preserve">de 2025 </w:t>
      </w:r>
      <w:r w:rsidR="00D803BD" w:rsidRPr="0013350C">
        <w:t xml:space="preserve">a </w:t>
      </w:r>
      <w:r w:rsidR="003A5727">
        <w:t>7 enero</w:t>
      </w:r>
      <w:r w:rsidR="00933E2D" w:rsidRPr="0013350C">
        <w:t xml:space="preserve"> </w:t>
      </w:r>
      <w:r w:rsidR="00C22D6B" w:rsidRPr="0013350C">
        <w:t>de 202</w:t>
      </w:r>
      <w:r w:rsidR="003A5727">
        <w:t>6</w:t>
      </w:r>
    </w:p>
    <w:p w14:paraId="3D362167" w14:textId="026342D2" w:rsidR="000855C9" w:rsidRPr="0098117F" w:rsidRDefault="009B5858" w:rsidP="00D15275">
      <w:pPr>
        <w:pStyle w:val="Prrafodelista"/>
        <w:numPr>
          <w:ilvl w:val="1"/>
          <w:numId w:val="1"/>
        </w:numPr>
        <w:jc w:val="both"/>
      </w:pPr>
      <w:r w:rsidRPr="0098117F">
        <w:rPr>
          <w:b/>
          <w:bCs/>
        </w:rPr>
        <w:t>Me</w:t>
      </w:r>
      <w:r w:rsidR="003F1CDE" w:rsidRPr="0098117F">
        <w:rPr>
          <w:b/>
          <w:bCs/>
        </w:rPr>
        <w:t xml:space="preserve">todología: </w:t>
      </w:r>
    </w:p>
    <w:p w14:paraId="167FFCEF" w14:textId="17D5A435" w:rsidR="009A35B1" w:rsidRPr="0098117F" w:rsidRDefault="009A35B1" w:rsidP="009A35B1">
      <w:pPr>
        <w:pStyle w:val="Prrafodelista"/>
        <w:numPr>
          <w:ilvl w:val="0"/>
          <w:numId w:val="3"/>
        </w:numPr>
        <w:jc w:val="both"/>
      </w:pPr>
      <w:r w:rsidRPr="0098117F">
        <w:t>Modalidad</w:t>
      </w:r>
      <w:r w:rsidR="00E33507" w:rsidRPr="0098117F">
        <w:t xml:space="preserve"> </w:t>
      </w:r>
      <w:r w:rsidRPr="0098117F">
        <w:t>presencial</w:t>
      </w:r>
      <w:r w:rsidR="00604DF9" w:rsidRPr="0098117F">
        <w:t xml:space="preserve"> y virtual.</w:t>
      </w:r>
    </w:p>
    <w:p w14:paraId="2841FCC5" w14:textId="6F5AAB8B" w:rsidR="00E33507" w:rsidRPr="0098117F" w:rsidRDefault="00E33507" w:rsidP="009A35B1">
      <w:pPr>
        <w:pStyle w:val="Prrafodelista"/>
        <w:numPr>
          <w:ilvl w:val="0"/>
          <w:numId w:val="3"/>
        </w:numPr>
        <w:jc w:val="both"/>
      </w:pPr>
      <w:r w:rsidRPr="0098117F">
        <w:t xml:space="preserve">Revisión del 100% de los riesgos y controles </w:t>
      </w:r>
    </w:p>
    <w:p w14:paraId="45983BD7" w14:textId="2CC0B722" w:rsidR="00E33507" w:rsidRPr="0098117F" w:rsidRDefault="00E33507" w:rsidP="009A35B1">
      <w:pPr>
        <w:pStyle w:val="Prrafodelista"/>
        <w:numPr>
          <w:ilvl w:val="0"/>
          <w:numId w:val="3"/>
        </w:numPr>
        <w:jc w:val="both"/>
      </w:pPr>
      <w:r w:rsidRPr="0098117F">
        <w:t xml:space="preserve">Evidencias solicitadas por muestreo selectivo </w:t>
      </w:r>
    </w:p>
    <w:p w14:paraId="7A18EEFF" w14:textId="28352C84" w:rsidR="0081729A" w:rsidRPr="0098117F" w:rsidRDefault="0081729A" w:rsidP="0081729A">
      <w:pPr>
        <w:jc w:val="both"/>
      </w:pPr>
      <w:r w:rsidRPr="0098117F">
        <w:t>El resultado del monitoreo se encuentra registrado en cada una de las matrices de los riesgos</w:t>
      </w:r>
      <w:r w:rsidR="0042602B">
        <w:t xml:space="preserve"> por cada proceso</w:t>
      </w:r>
      <w:r w:rsidRPr="0098117F">
        <w:t>.</w:t>
      </w:r>
    </w:p>
    <w:p w14:paraId="2995A0ED" w14:textId="13D35E03" w:rsidR="0081729A" w:rsidRPr="0098117F" w:rsidRDefault="0081729A" w:rsidP="0081729A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98117F">
        <w:rPr>
          <w:b/>
          <w:bCs/>
        </w:rPr>
        <w:t>Ruta de publicación:</w:t>
      </w:r>
    </w:p>
    <w:p w14:paraId="744FB01D" w14:textId="71AD2419" w:rsidR="0042602B" w:rsidRDefault="0081729A" w:rsidP="0081729A">
      <w:pPr>
        <w:pStyle w:val="Prrafodelista"/>
        <w:ind w:left="1080"/>
        <w:jc w:val="both"/>
      </w:pPr>
      <w:r w:rsidRPr="0098117F">
        <w:t xml:space="preserve">Riesgos de corrupción: </w:t>
      </w:r>
      <w:hyperlink r:id="rId7" w:history="1">
        <w:r w:rsidRPr="0098117F">
          <w:rPr>
            <w:rStyle w:val="Hipervnculo"/>
          </w:rPr>
          <w:t>https://www.idrd.gov.co/transparencia-acceso-informacion-publica/planeacion-presupuesto-informes/plan-de-accion/programa-de-transparencia-y-etica-publica</w:t>
        </w:r>
      </w:hyperlink>
      <w:r w:rsidRPr="0098117F">
        <w:rPr>
          <w:color w:val="0070C0"/>
        </w:rPr>
        <w:t xml:space="preserve">  - 202</w:t>
      </w:r>
      <w:r w:rsidR="00071B89">
        <w:rPr>
          <w:color w:val="0070C0"/>
        </w:rPr>
        <w:t>5</w:t>
      </w:r>
      <w:r w:rsidRPr="0098117F">
        <w:t xml:space="preserve"> - monitoreo riesgos corrupción</w:t>
      </w:r>
    </w:p>
    <w:p w14:paraId="26A13812" w14:textId="3F31052A" w:rsidR="0081729A" w:rsidRPr="0098117F" w:rsidRDefault="0042602B" w:rsidP="0081729A">
      <w:pPr>
        <w:pStyle w:val="Prrafodelista"/>
        <w:ind w:left="1080"/>
        <w:jc w:val="both"/>
        <w:rPr>
          <w:color w:val="0070C0"/>
        </w:rPr>
      </w:pPr>
      <w:r>
        <w:t xml:space="preserve">Riesgos de gestión: </w:t>
      </w:r>
      <w:proofErr w:type="spellStart"/>
      <w:r>
        <w:t>isolucion</w:t>
      </w:r>
      <w:proofErr w:type="spellEnd"/>
      <w:r>
        <w:t xml:space="preserve">- </w:t>
      </w:r>
      <w:proofErr w:type="spellStart"/>
      <w:r>
        <w:t>Tips</w:t>
      </w:r>
      <w:proofErr w:type="spellEnd"/>
      <w:r>
        <w:t xml:space="preserve"> de interés- riesgos de gestión- año 202</w:t>
      </w:r>
      <w:r w:rsidR="00071B89">
        <w:t>5</w:t>
      </w:r>
      <w:r>
        <w:t>.</w:t>
      </w:r>
      <w:r w:rsidR="0081729A" w:rsidRPr="0098117F">
        <w:t xml:space="preserve"> </w:t>
      </w:r>
    </w:p>
    <w:p w14:paraId="39F6101E" w14:textId="77777777" w:rsidR="009A1E7E" w:rsidRPr="0098117F" w:rsidRDefault="009A1E7E" w:rsidP="009A1E7E">
      <w:pPr>
        <w:pStyle w:val="Prrafodelista"/>
        <w:jc w:val="both"/>
      </w:pPr>
    </w:p>
    <w:p w14:paraId="4ECFAF50" w14:textId="74311F97" w:rsidR="003D6E35" w:rsidRDefault="003D6E35" w:rsidP="00576463">
      <w:pPr>
        <w:pStyle w:val="Prrafodelista"/>
        <w:numPr>
          <w:ilvl w:val="0"/>
          <w:numId w:val="1"/>
        </w:numPr>
        <w:ind w:hanging="720"/>
        <w:jc w:val="both"/>
        <w:rPr>
          <w:b/>
          <w:bCs/>
        </w:rPr>
      </w:pPr>
      <w:r>
        <w:rPr>
          <w:b/>
          <w:bCs/>
        </w:rPr>
        <w:t xml:space="preserve">Riesgos materializados </w:t>
      </w:r>
    </w:p>
    <w:p w14:paraId="319DC11E" w14:textId="77777777" w:rsidR="009C703E" w:rsidRPr="009452F9" w:rsidRDefault="0025566C" w:rsidP="005770E6">
      <w:pPr>
        <w:jc w:val="both"/>
      </w:pPr>
      <w:r w:rsidRPr="009452F9">
        <w:t xml:space="preserve">En el período en evaluación </w:t>
      </w:r>
      <w:r w:rsidR="009C703E" w:rsidRPr="009452F9">
        <w:t>se reportó la materialización del siguiente riesgo:</w:t>
      </w:r>
    </w:p>
    <w:p w14:paraId="5B79FF33" w14:textId="4807BED4" w:rsidR="00AD4A31" w:rsidRPr="009452F9" w:rsidRDefault="00AD4A31" w:rsidP="009C703E">
      <w:pPr>
        <w:jc w:val="both"/>
      </w:pPr>
      <w:r w:rsidRPr="009452F9">
        <w:rPr>
          <w:b/>
          <w:bCs/>
        </w:rPr>
        <w:t>PROCESO</w:t>
      </w:r>
      <w:r w:rsidRPr="009452F9">
        <w:t>: Gestión Jurídica</w:t>
      </w:r>
    </w:p>
    <w:p w14:paraId="0357838D" w14:textId="410471DE" w:rsidR="009C703E" w:rsidRPr="009452F9" w:rsidRDefault="00AD4A31" w:rsidP="009C703E">
      <w:pPr>
        <w:jc w:val="both"/>
      </w:pPr>
      <w:r w:rsidRPr="009452F9">
        <w:rPr>
          <w:b/>
          <w:bCs/>
        </w:rPr>
        <w:t>DESCRIPCIÓN:</w:t>
      </w:r>
      <w:r w:rsidRPr="009452F9">
        <w:t xml:space="preserve"> </w:t>
      </w:r>
      <w:r w:rsidR="009C703E" w:rsidRPr="009452F9">
        <w:t>POSIBILIDAD de afectación económica por condenas en contra de la entidad en procesos judiciales</w:t>
      </w:r>
      <w:r w:rsidRPr="009452F9">
        <w:t xml:space="preserve">/ </w:t>
      </w:r>
      <w:r w:rsidR="009C703E" w:rsidRPr="009452F9">
        <w:t>POR representación judicial no realizada dentro de los términos establecidos procesalmente</w:t>
      </w:r>
      <w:r w:rsidRPr="009452F9">
        <w:t xml:space="preserve">/ </w:t>
      </w:r>
      <w:r w:rsidR="009C703E" w:rsidRPr="009452F9">
        <w:t>DEBIDO A falta de seguimiento a los procesos judiciales en la página de la rama y/o en el despacho judicial.</w:t>
      </w:r>
    </w:p>
    <w:p w14:paraId="598FE5D2" w14:textId="2C3A1CB2" w:rsidR="009C703E" w:rsidRPr="009452F9" w:rsidRDefault="00AD4A31" w:rsidP="005770E6">
      <w:pPr>
        <w:jc w:val="both"/>
      </w:pPr>
      <w:r w:rsidRPr="009452F9">
        <w:rPr>
          <w:b/>
          <w:bCs/>
        </w:rPr>
        <w:lastRenderedPageBreak/>
        <w:t>CAUSA:</w:t>
      </w:r>
      <w:r w:rsidRPr="009452F9">
        <w:t xml:space="preserve"> </w:t>
      </w:r>
      <w:r w:rsidR="00E1756A" w:rsidRPr="009452F9">
        <w:t>No ingreso del correo electrónico del juzgado al área jurídica, y por tanto el no trámite de la solicitud, debido a la intensificación de controles del área de Sistemas frente a los correos de entrada, que ocasionó que lo dejara en “cuarentena” por un tiempo mayor a 4 meses. El peticionario envió la solicitud en julio de 2025</w:t>
      </w:r>
    </w:p>
    <w:p w14:paraId="3F317D48" w14:textId="224A0537" w:rsidR="00E1756A" w:rsidRPr="009452F9" w:rsidRDefault="00AD4A31" w:rsidP="00E1756A">
      <w:pPr>
        <w:jc w:val="both"/>
      </w:pPr>
      <w:r w:rsidRPr="009452F9">
        <w:rPr>
          <w:b/>
          <w:bCs/>
        </w:rPr>
        <w:t>TRATAMIENTO:</w:t>
      </w:r>
      <w:r w:rsidRPr="009452F9">
        <w:t xml:space="preserve"> </w:t>
      </w:r>
      <w:r w:rsidR="00E1756A" w:rsidRPr="009452F9">
        <w:t xml:space="preserve">Se sostuvo reunión el 2025-12-16 con los líderes y profesionales de los procesos de </w:t>
      </w:r>
      <w:r w:rsidRPr="009452F9">
        <w:t>Gestión Jurídica</w:t>
      </w:r>
      <w:r w:rsidR="00E1756A" w:rsidRPr="009452F9">
        <w:t xml:space="preserve"> y Gestión de Tecnologías de la Información. Se determinaron las siguientes acciones: </w:t>
      </w:r>
    </w:p>
    <w:p w14:paraId="5BE14212" w14:textId="4BAFC0ED" w:rsidR="00AD4A31" w:rsidRPr="009452F9" w:rsidRDefault="00AD4A31" w:rsidP="00E1756A">
      <w:pPr>
        <w:jc w:val="both"/>
        <w:rPr>
          <w:b/>
          <w:bCs/>
        </w:rPr>
      </w:pPr>
      <w:r w:rsidRPr="009452F9">
        <w:rPr>
          <w:b/>
          <w:bCs/>
        </w:rPr>
        <w:t xml:space="preserve">ACCIONES </w:t>
      </w:r>
    </w:p>
    <w:p w14:paraId="79E972DB" w14:textId="53D64AC4" w:rsidR="00DF29B5" w:rsidRPr="009452F9" w:rsidRDefault="00DF29B5" w:rsidP="00AD4A31">
      <w:pPr>
        <w:pStyle w:val="Prrafodelista"/>
        <w:numPr>
          <w:ilvl w:val="1"/>
          <w:numId w:val="18"/>
        </w:numPr>
        <w:jc w:val="both"/>
      </w:pPr>
      <w:r w:rsidRPr="009452F9">
        <w:t>Responder el derecho de petición (Radicado 2025420 0293421 firmado por John Ricardo González) y se dio informe de cumplimiento al despacho judicial.</w:t>
      </w:r>
    </w:p>
    <w:p w14:paraId="23614C59" w14:textId="44CCA52C" w:rsidR="00E1756A" w:rsidRPr="009452F9" w:rsidRDefault="00E1756A" w:rsidP="00AD4A31">
      <w:pPr>
        <w:pStyle w:val="Prrafodelista"/>
        <w:numPr>
          <w:ilvl w:val="1"/>
          <w:numId w:val="18"/>
        </w:numPr>
        <w:jc w:val="both"/>
      </w:pPr>
      <w:r w:rsidRPr="009452F9">
        <w:t>Reducir el índice de seguridad a los buzones de notificaciones judiciales e IDRD Correspondencia para los correos entrantes: En proceso de implementación.</w:t>
      </w:r>
    </w:p>
    <w:p w14:paraId="66BABB9C" w14:textId="747AAD82" w:rsidR="00E1756A" w:rsidRPr="009452F9" w:rsidRDefault="00E1756A" w:rsidP="00AD4A31">
      <w:pPr>
        <w:pStyle w:val="Prrafodelista"/>
        <w:numPr>
          <w:ilvl w:val="1"/>
          <w:numId w:val="18"/>
        </w:numPr>
        <w:jc w:val="both"/>
      </w:pPr>
      <w:r w:rsidRPr="009452F9">
        <w:t xml:space="preserve">Revisar como mínimo 3 veces al día la plataforma de Microsoft Office 365 para constatar que no se encuentren correos electrónicos retenidos por sospecha de correo malicioso. En proceso de implementación. </w:t>
      </w:r>
    </w:p>
    <w:p w14:paraId="24BC423D" w14:textId="291D16E0" w:rsidR="00E1756A" w:rsidRPr="009452F9" w:rsidRDefault="00E1756A" w:rsidP="00AD4A31">
      <w:pPr>
        <w:pStyle w:val="Prrafodelista"/>
        <w:numPr>
          <w:ilvl w:val="1"/>
          <w:numId w:val="18"/>
        </w:numPr>
        <w:jc w:val="both"/>
      </w:pPr>
      <w:r w:rsidRPr="009452F9">
        <w:t>Recepción de alertas automáticas sobre cuarentana por medio de la plataforma de Office 365 revisadas por el administrador de TENANT: A implementar</w:t>
      </w:r>
    </w:p>
    <w:p w14:paraId="6545ED95" w14:textId="63D3FF38" w:rsidR="00E1756A" w:rsidRPr="009452F9" w:rsidRDefault="00E1756A" w:rsidP="00AD4A31">
      <w:pPr>
        <w:pStyle w:val="Prrafodelista"/>
        <w:numPr>
          <w:ilvl w:val="1"/>
          <w:numId w:val="18"/>
        </w:numPr>
        <w:jc w:val="both"/>
      </w:pPr>
      <w:r w:rsidRPr="009452F9">
        <w:t>Realizar inducción y reinducción a todos los funcionarios de planta de la entidad sobre los sistemas de información que maneja la entidad, mediante la plataforma MOODLE cuya periodicidad será definida por Talento Humano; no obstante, se hará énfasis en las sensibilizaciones a la Oficina Jurídica y Servicio a la Ciudadanía realizadas por el Oficial de Seguridad del proceso de Gestión de Tecnología de la Información: A implementar.</w:t>
      </w:r>
    </w:p>
    <w:p w14:paraId="46B85BA6" w14:textId="24BC3855" w:rsidR="00E1756A" w:rsidRPr="009452F9" w:rsidRDefault="00E1756A" w:rsidP="00AD4A31">
      <w:pPr>
        <w:pStyle w:val="Prrafodelista"/>
        <w:numPr>
          <w:ilvl w:val="1"/>
          <w:numId w:val="18"/>
        </w:numPr>
        <w:jc w:val="both"/>
      </w:pPr>
      <w:r w:rsidRPr="009452F9">
        <w:t xml:space="preserve">Incluir en el documento pertinente los niveles de la seguridad que se debe aplicar a los buzones. A implementar. </w:t>
      </w:r>
    </w:p>
    <w:p w14:paraId="632D267E" w14:textId="1ADE98BD" w:rsidR="00E1756A" w:rsidRPr="006078E4" w:rsidRDefault="00E1756A" w:rsidP="00E1756A">
      <w:pPr>
        <w:jc w:val="both"/>
      </w:pPr>
      <w:r w:rsidRPr="009452F9">
        <w:t>Las anteriores acciones se documenta</w:t>
      </w:r>
      <w:r w:rsidR="00AD4A31" w:rsidRPr="009452F9">
        <w:t>ron</w:t>
      </w:r>
      <w:r w:rsidRPr="009452F9">
        <w:t xml:space="preserve"> en </w:t>
      </w:r>
      <w:proofErr w:type="spellStart"/>
      <w:r w:rsidRPr="006078E4">
        <w:t>Isoluci</w:t>
      </w:r>
      <w:r w:rsidR="009452F9" w:rsidRPr="006078E4">
        <w:t>ó</w:t>
      </w:r>
      <w:r w:rsidRPr="006078E4">
        <w:t>n</w:t>
      </w:r>
      <w:proofErr w:type="spellEnd"/>
      <w:r w:rsidR="009452F9" w:rsidRPr="006078E4">
        <w:t xml:space="preserve"> No. 202</w:t>
      </w:r>
      <w:r w:rsidR="006078E4" w:rsidRPr="006078E4">
        <w:t>244</w:t>
      </w:r>
    </w:p>
    <w:p w14:paraId="0D686BCF" w14:textId="140306D9" w:rsidR="00E33507" w:rsidRPr="009E7C02" w:rsidRDefault="009A1E7E" w:rsidP="00576463">
      <w:pPr>
        <w:pStyle w:val="Prrafodelista"/>
        <w:numPr>
          <w:ilvl w:val="0"/>
          <w:numId w:val="1"/>
        </w:numPr>
        <w:ind w:hanging="720"/>
        <w:jc w:val="both"/>
        <w:rPr>
          <w:b/>
          <w:bCs/>
        </w:rPr>
      </w:pPr>
      <w:r w:rsidRPr="009E7C02">
        <w:rPr>
          <w:b/>
          <w:bCs/>
        </w:rPr>
        <w:t>Conclusiones</w:t>
      </w:r>
    </w:p>
    <w:p w14:paraId="622AB62E" w14:textId="77777777" w:rsidR="00EF2203" w:rsidRDefault="00EF2203" w:rsidP="00EF2203">
      <w:pPr>
        <w:pStyle w:val="Prrafodelista"/>
        <w:jc w:val="both"/>
      </w:pPr>
    </w:p>
    <w:p w14:paraId="2B0261F6" w14:textId="55E8386C" w:rsidR="00025370" w:rsidRPr="009452F9" w:rsidRDefault="00025370" w:rsidP="00FE7ED2">
      <w:pPr>
        <w:pStyle w:val="Prrafodelista"/>
        <w:numPr>
          <w:ilvl w:val="0"/>
          <w:numId w:val="12"/>
        </w:numPr>
        <w:jc w:val="both"/>
        <w:rPr>
          <w:lang w:val="es-419"/>
        </w:rPr>
      </w:pPr>
      <w:r w:rsidRPr="009452F9">
        <w:rPr>
          <w:lang w:val="es-419"/>
        </w:rPr>
        <w:t xml:space="preserve">En el período evaluado se materializó un riesgo, el cual fue atendido por la primera y segunda </w:t>
      </w:r>
      <w:r w:rsidR="00DC2F44" w:rsidRPr="009452F9">
        <w:rPr>
          <w:lang w:val="es-419"/>
        </w:rPr>
        <w:t xml:space="preserve">línea de defensa. </w:t>
      </w:r>
    </w:p>
    <w:p w14:paraId="516566CC" w14:textId="239BCC89" w:rsidR="00060F4A" w:rsidRPr="00060F4A" w:rsidRDefault="00060F4A" w:rsidP="00FE7ED2">
      <w:pPr>
        <w:pStyle w:val="Prrafodelista"/>
        <w:numPr>
          <w:ilvl w:val="0"/>
          <w:numId w:val="12"/>
        </w:numPr>
        <w:jc w:val="both"/>
        <w:rPr>
          <w:lang w:val="es-419"/>
        </w:rPr>
      </w:pPr>
      <w:r w:rsidRPr="00060F4A">
        <w:t>Los controles</w:t>
      </w:r>
      <w:r w:rsidR="00FE7ED2">
        <w:t xml:space="preserve"> de los riesgos</w:t>
      </w:r>
      <w:r w:rsidRPr="00060F4A">
        <w:t xml:space="preserve"> cuentan con evidencias de acuerdo con las frecuencias establecidas.  </w:t>
      </w:r>
    </w:p>
    <w:p w14:paraId="3A25730E" w14:textId="77777777" w:rsidR="00060F4A" w:rsidRPr="00060F4A" w:rsidRDefault="00060F4A" w:rsidP="00FE7ED2">
      <w:pPr>
        <w:pStyle w:val="Prrafodelista"/>
        <w:numPr>
          <w:ilvl w:val="0"/>
          <w:numId w:val="12"/>
        </w:numPr>
        <w:jc w:val="both"/>
        <w:rPr>
          <w:lang w:val="es-419"/>
        </w:rPr>
      </w:pPr>
      <w:r w:rsidRPr="00060F4A">
        <w:t xml:space="preserve">Los indicadores cumplen con las metas establecidas. </w:t>
      </w:r>
    </w:p>
    <w:p w14:paraId="49BBBCD9" w14:textId="77777777" w:rsidR="00060F4A" w:rsidRPr="00060F4A" w:rsidRDefault="00060F4A" w:rsidP="00FE7ED2">
      <w:pPr>
        <w:pStyle w:val="Prrafodelista"/>
        <w:numPr>
          <w:ilvl w:val="0"/>
          <w:numId w:val="12"/>
        </w:numPr>
        <w:jc w:val="both"/>
        <w:rPr>
          <w:lang w:val="es-419"/>
        </w:rPr>
      </w:pPr>
      <w:r w:rsidRPr="00060F4A">
        <w:t>Los planes de acción cuentan con el seguimiento y evidencias correspondientes.</w:t>
      </w:r>
    </w:p>
    <w:p w14:paraId="1E8C6D98" w14:textId="77777777" w:rsidR="00040646" w:rsidRDefault="00040646" w:rsidP="003F48FC">
      <w:pPr>
        <w:pStyle w:val="Prrafodelista"/>
        <w:jc w:val="both"/>
        <w:rPr>
          <w:b/>
          <w:bCs/>
          <w:lang w:val="es-419"/>
        </w:rPr>
      </w:pPr>
    </w:p>
    <w:p w14:paraId="4BE86874" w14:textId="486AF0D6" w:rsidR="006854CB" w:rsidRDefault="00A664DC" w:rsidP="00576463">
      <w:pPr>
        <w:pStyle w:val="Prrafodelista"/>
        <w:numPr>
          <w:ilvl w:val="0"/>
          <w:numId w:val="1"/>
        </w:numPr>
        <w:ind w:hanging="720"/>
        <w:jc w:val="both"/>
        <w:rPr>
          <w:b/>
          <w:bCs/>
        </w:rPr>
      </w:pPr>
      <w:r>
        <w:rPr>
          <w:b/>
          <w:bCs/>
        </w:rPr>
        <w:t xml:space="preserve">Resultados y acciones a implementar </w:t>
      </w:r>
    </w:p>
    <w:p w14:paraId="00D3F53D" w14:textId="77777777" w:rsidR="00B3071C" w:rsidRDefault="00B3071C" w:rsidP="00B3071C">
      <w:pPr>
        <w:pStyle w:val="Prrafodelista"/>
        <w:jc w:val="both"/>
        <w:rPr>
          <w:b/>
          <w:bCs/>
        </w:rPr>
      </w:pPr>
    </w:p>
    <w:p w14:paraId="31C9F55E" w14:textId="7AA94390" w:rsidR="00B212EE" w:rsidRPr="009452F9" w:rsidRDefault="00655A0D" w:rsidP="00B3071C">
      <w:pPr>
        <w:pStyle w:val="Prrafodelista"/>
        <w:numPr>
          <w:ilvl w:val="0"/>
          <w:numId w:val="16"/>
        </w:numPr>
        <w:jc w:val="both"/>
      </w:pPr>
      <w:r w:rsidRPr="009452F9">
        <w:t xml:space="preserve">Revisar las evidencias que dan cuenta de la implementación de controles, a fin de </w:t>
      </w:r>
      <w:r w:rsidR="00025370" w:rsidRPr="009452F9">
        <w:t xml:space="preserve">evaluar la necesidad de </w:t>
      </w:r>
      <w:r w:rsidRPr="009452F9">
        <w:t>redefinirlas</w:t>
      </w:r>
      <w:r w:rsidR="00025370" w:rsidRPr="009452F9">
        <w:t xml:space="preserve"> o ajustarlas.</w:t>
      </w:r>
    </w:p>
    <w:p w14:paraId="6C2D9684" w14:textId="2EDC2FBA" w:rsidR="00B212EE" w:rsidRPr="009452F9" w:rsidRDefault="00025370" w:rsidP="00B3071C">
      <w:pPr>
        <w:pStyle w:val="Prrafodelista"/>
        <w:numPr>
          <w:ilvl w:val="0"/>
          <w:numId w:val="16"/>
        </w:numPr>
        <w:jc w:val="both"/>
      </w:pPr>
      <w:r w:rsidRPr="009452F9">
        <w:t xml:space="preserve">Adquirir el hábito de realizar los monitoreos de primera línea de defensa en los primeros días siguientes al mes vencido, a fin de evitar atrasos y tomar acciones inmediatas ante eventos reales o potenciales. </w:t>
      </w:r>
    </w:p>
    <w:p w14:paraId="6DE935B6" w14:textId="14A5047A" w:rsidR="00025370" w:rsidRPr="009452F9" w:rsidRDefault="00025370" w:rsidP="00B3071C">
      <w:pPr>
        <w:pStyle w:val="Prrafodelista"/>
        <w:numPr>
          <w:ilvl w:val="0"/>
          <w:numId w:val="16"/>
        </w:numPr>
        <w:jc w:val="both"/>
      </w:pPr>
      <w:r w:rsidRPr="009452F9">
        <w:lastRenderedPageBreak/>
        <w:t xml:space="preserve">Revisar </w:t>
      </w:r>
      <w:r w:rsidR="00FB5C75" w:rsidRPr="009452F9">
        <w:t xml:space="preserve">y ajustar </w:t>
      </w:r>
      <w:r w:rsidRPr="009452F9">
        <w:t xml:space="preserve">las metas de los indicadores a través del análisis de los resultados arrojados por las mediciones de 2025, que impliquen un reto para el proceso y se continúe con la mejora continua en la gestión del riesgo. </w:t>
      </w:r>
    </w:p>
    <w:p w14:paraId="30B02F58" w14:textId="56938429" w:rsidR="00025370" w:rsidRPr="009452F9" w:rsidRDefault="00B128C6" w:rsidP="00C61CF4">
      <w:pPr>
        <w:pStyle w:val="Prrafodelista"/>
        <w:numPr>
          <w:ilvl w:val="0"/>
          <w:numId w:val="16"/>
        </w:numPr>
        <w:jc w:val="both"/>
      </w:pPr>
      <w:r w:rsidRPr="009452F9">
        <w:t xml:space="preserve">Estar alerta ante la materialización de riesgos no administrados y evaluar la necesidad de formalizarlos en las matrices actuales, </w:t>
      </w:r>
      <w:r w:rsidR="000C08EA" w:rsidRPr="009452F9">
        <w:t>avisando</w:t>
      </w:r>
      <w:r w:rsidRPr="009452F9">
        <w:t xml:space="preserve"> a la segunda línea de defensa para su acompañamiento. </w:t>
      </w:r>
    </w:p>
    <w:p w14:paraId="3B0CFE4B" w14:textId="766AE799" w:rsidR="008F6478" w:rsidRDefault="008F6478" w:rsidP="00B3071C">
      <w:pPr>
        <w:pStyle w:val="Prrafodelista"/>
        <w:numPr>
          <w:ilvl w:val="0"/>
          <w:numId w:val="16"/>
        </w:numPr>
        <w:jc w:val="both"/>
      </w:pPr>
      <w:r w:rsidRPr="00DB5DB5">
        <w:t xml:space="preserve">Solicitar a la Oficina Asesora de Planeación </w:t>
      </w:r>
      <w:r w:rsidR="00B85B3B" w:rsidRPr="00DB5DB5">
        <w:t xml:space="preserve">sensibilizaciones para fortalecer los conocimientos en los profesionales nuevos </w:t>
      </w:r>
      <w:r w:rsidR="00DB5DB5" w:rsidRPr="00DB5DB5">
        <w:t xml:space="preserve">respecto a los lineamientos y metodología para la gestión del riesgo. </w:t>
      </w:r>
    </w:p>
    <w:p w14:paraId="3DC065A1" w14:textId="77777777" w:rsidR="0031398E" w:rsidRDefault="0031398E" w:rsidP="00F8076E">
      <w:pPr>
        <w:jc w:val="both"/>
      </w:pPr>
    </w:p>
    <w:p w14:paraId="31CF112C" w14:textId="4E8CDFCF" w:rsidR="0081729A" w:rsidRPr="0031398E" w:rsidRDefault="0081729A" w:rsidP="00F8076E">
      <w:pPr>
        <w:jc w:val="both"/>
        <w:rPr>
          <w:b/>
          <w:bCs/>
        </w:rPr>
      </w:pPr>
      <w:r w:rsidRPr="0031398E">
        <w:rPr>
          <w:b/>
          <w:bCs/>
        </w:rPr>
        <w:t>OFICINA ASESORA DE PLANEACI</w:t>
      </w:r>
      <w:r w:rsidR="00576463">
        <w:rPr>
          <w:b/>
          <w:bCs/>
        </w:rPr>
        <w:t>Ó</w:t>
      </w:r>
      <w:r w:rsidRPr="0031398E">
        <w:rPr>
          <w:b/>
          <w:bCs/>
        </w:rPr>
        <w:t>N</w:t>
      </w:r>
    </w:p>
    <w:p w14:paraId="22385C3E" w14:textId="03BBB76D" w:rsidR="00381DFA" w:rsidRPr="0031398E" w:rsidRDefault="00576463" w:rsidP="00381DFA">
      <w:pPr>
        <w:jc w:val="both"/>
        <w:rPr>
          <w:b/>
          <w:bCs/>
        </w:rPr>
      </w:pPr>
      <w:r>
        <w:rPr>
          <w:b/>
          <w:bCs/>
        </w:rPr>
        <w:t>ENERO</w:t>
      </w:r>
      <w:r w:rsidR="00A664DC" w:rsidRPr="0031398E">
        <w:rPr>
          <w:b/>
          <w:bCs/>
        </w:rPr>
        <w:t xml:space="preserve"> 202</w:t>
      </w:r>
      <w:r>
        <w:rPr>
          <w:b/>
          <w:bCs/>
        </w:rPr>
        <w:t>6</w:t>
      </w:r>
    </w:p>
    <w:sectPr w:rsidR="00381DFA" w:rsidRPr="0031398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FBF0" w14:textId="77777777" w:rsidR="0066053F" w:rsidRDefault="0066053F" w:rsidP="0081729A">
      <w:pPr>
        <w:spacing w:after="0" w:line="240" w:lineRule="auto"/>
      </w:pPr>
      <w:r>
        <w:separator/>
      </w:r>
    </w:p>
  </w:endnote>
  <w:endnote w:type="continuationSeparator" w:id="0">
    <w:p w14:paraId="315C3127" w14:textId="77777777" w:rsidR="0066053F" w:rsidRDefault="0066053F" w:rsidP="0081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5007" w14:textId="77777777" w:rsidR="0066053F" w:rsidRDefault="0066053F" w:rsidP="0081729A">
      <w:pPr>
        <w:spacing w:after="0" w:line="240" w:lineRule="auto"/>
      </w:pPr>
      <w:r>
        <w:separator/>
      </w:r>
    </w:p>
  </w:footnote>
  <w:footnote w:type="continuationSeparator" w:id="0">
    <w:p w14:paraId="5D06B4CC" w14:textId="77777777" w:rsidR="0066053F" w:rsidRDefault="0066053F" w:rsidP="0081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3B2B" w14:textId="422B86C5" w:rsidR="0081729A" w:rsidRDefault="0081729A">
    <w:pPr>
      <w:pStyle w:val="Encabezado"/>
    </w:pPr>
    <w:r>
      <w:t xml:space="preserve">                                                                         </w:t>
    </w:r>
    <w:r>
      <w:rPr>
        <w:noProof/>
        <w:lang w:eastAsia="es-CO"/>
      </w:rPr>
      <w:drawing>
        <wp:inline distT="0" distB="0" distL="0" distR="0" wp14:anchorId="720543FA" wp14:editId="63C40649">
          <wp:extent cx="1054735" cy="6400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A37"/>
    <w:multiLevelType w:val="multilevel"/>
    <w:tmpl w:val="58E24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BF6E76"/>
    <w:multiLevelType w:val="hybridMultilevel"/>
    <w:tmpl w:val="C47EC5E0"/>
    <w:lvl w:ilvl="0" w:tplc="58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7782"/>
    <w:multiLevelType w:val="hybridMultilevel"/>
    <w:tmpl w:val="79B47E0E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7E74"/>
    <w:multiLevelType w:val="hybridMultilevel"/>
    <w:tmpl w:val="3788D5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F464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90115"/>
    <w:multiLevelType w:val="hybridMultilevel"/>
    <w:tmpl w:val="E32C92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93A43"/>
    <w:multiLevelType w:val="hybridMultilevel"/>
    <w:tmpl w:val="53D237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51056"/>
    <w:multiLevelType w:val="hybridMultilevel"/>
    <w:tmpl w:val="CB503D3C"/>
    <w:lvl w:ilvl="0" w:tplc="795E7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81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63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C0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4F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02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27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507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14A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C522D20"/>
    <w:multiLevelType w:val="hybridMultilevel"/>
    <w:tmpl w:val="4BC88C7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DD907714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24007"/>
    <w:multiLevelType w:val="hybridMultilevel"/>
    <w:tmpl w:val="C6D6980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A27D1"/>
    <w:multiLevelType w:val="multilevel"/>
    <w:tmpl w:val="529A4390"/>
    <w:lvl w:ilvl="0">
      <w:start w:val="9"/>
      <w:numFmt w:val="decimal"/>
      <w:lvlText w:val="%1"/>
      <w:lvlJc w:val="left"/>
      <w:pPr>
        <w:ind w:left="479" w:hanging="43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79" w:hanging="432"/>
        <w:jc w:val="right"/>
      </w:pPr>
      <w:rPr>
        <w:rFonts w:hint="default"/>
        <w:spacing w:val="0"/>
        <w:w w:val="97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98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3">
      <w:numFmt w:val="bullet"/>
      <w:lvlText w:val="-"/>
      <w:lvlJc w:val="left"/>
      <w:pPr>
        <w:ind w:left="13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79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8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7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13621FA"/>
    <w:multiLevelType w:val="hybridMultilevel"/>
    <w:tmpl w:val="55D41FD0"/>
    <w:lvl w:ilvl="0" w:tplc="EB34D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28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2F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8E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EB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81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87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2B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E0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59E3175"/>
    <w:multiLevelType w:val="multilevel"/>
    <w:tmpl w:val="350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61A00"/>
    <w:multiLevelType w:val="hybridMultilevel"/>
    <w:tmpl w:val="367EECBA"/>
    <w:lvl w:ilvl="0" w:tplc="3A2640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641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38C6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8EB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EE8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4231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6AE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218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5605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42AC3"/>
    <w:multiLevelType w:val="hybridMultilevel"/>
    <w:tmpl w:val="72A23934"/>
    <w:lvl w:ilvl="0" w:tplc="C2A4AB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F666EC"/>
    <w:multiLevelType w:val="hybridMultilevel"/>
    <w:tmpl w:val="DDFE187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50DAF"/>
    <w:multiLevelType w:val="multilevel"/>
    <w:tmpl w:val="39863A42"/>
    <w:lvl w:ilvl="0">
      <w:start w:val="1"/>
      <w:numFmt w:val="decimal"/>
      <w:lvlText w:val="%1."/>
      <w:lvlJc w:val="left"/>
      <w:pPr>
        <w:ind w:left="618" w:hanging="361"/>
        <w:jc w:val="right"/>
      </w:pPr>
      <w:rPr>
        <w:rFonts w:hint="default"/>
        <w:spacing w:val="0"/>
        <w:w w:val="97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2" w:hanging="79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es-ES" w:eastAsia="en-US" w:bidi="ar-SA"/>
      </w:rPr>
    </w:lvl>
    <w:lvl w:ilvl="2">
      <w:numFmt w:val="bullet"/>
      <w:lvlText w:val=""/>
      <w:lvlJc w:val="left"/>
      <w:pPr>
        <w:ind w:left="1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56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6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6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B4905C5"/>
    <w:multiLevelType w:val="hybridMultilevel"/>
    <w:tmpl w:val="E848D73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91791"/>
    <w:multiLevelType w:val="hybridMultilevel"/>
    <w:tmpl w:val="8DB83A4A"/>
    <w:lvl w:ilvl="0" w:tplc="7A4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3A2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E0D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A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438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426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68F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0B3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F2A3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527734">
    <w:abstractNumId w:val="0"/>
  </w:num>
  <w:num w:numId="2" w16cid:durableId="1139148390">
    <w:abstractNumId w:val="8"/>
  </w:num>
  <w:num w:numId="3" w16cid:durableId="344332701">
    <w:abstractNumId w:val="13"/>
  </w:num>
  <w:num w:numId="4" w16cid:durableId="990063802">
    <w:abstractNumId w:val="5"/>
  </w:num>
  <w:num w:numId="5" w16cid:durableId="80567654">
    <w:abstractNumId w:val="3"/>
  </w:num>
  <w:num w:numId="6" w16cid:durableId="2131625127">
    <w:abstractNumId w:val="4"/>
  </w:num>
  <w:num w:numId="7" w16cid:durableId="189101558">
    <w:abstractNumId w:val="7"/>
  </w:num>
  <w:num w:numId="8" w16cid:durableId="69038190">
    <w:abstractNumId w:val="9"/>
  </w:num>
  <w:num w:numId="9" w16cid:durableId="2023701010">
    <w:abstractNumId w:val="15"/>
  </w:num>
  <w:num w:numId="10" w16cid:durableId="250624231">
    <w:abstractNumId w:val="2"/>
  </w:num>
  <w:num w:numId="11" w16cid:durableId="1824421579">
    <w:abstractNumId w:val="12"/>
  </w:num>
  <w:num w:numId="12" w16cid:durableId="1789471788">
    <w:abstractNumId w:val="1"/>
  </w:num>
  <w:num w:numId="13" w16cid:durableId="1527595043">
    <w:abstractNumId w:val="17"/>
  </w:num>
  <w:num w:numId="14" w16cid:durableId="1420174372">
    <w:abstractNumId w:val="10"/>
  </w:num>
  <w:num w:numId="15" w16cid:durableId="412122656">
    <w:abstractNumId w:val="6"/>
  </w:num>
  <w:num w:numId="16" w16cid:durableId="1997997001">
    <w:abstractNumId w:val="14"/>
  </w:num>
  <w:num w:numId="17" w16cid:durableId="1569999938">
    <w:abstractNumId w:val="11"/>
  </w:num>
  <w:num w:numId="18" w16cid:durableId="8186916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81"/>
    <w:rsid w:val="00000458"/>
    <w:rsid w:val="00005E8A"/>
    <w:rsid w:val="00012790"/>
    <w:rsid w:val="00022416"/>
    <w:rsid w:val="00023ACB"/>
    <w:rsid w:val="00025370"/>
    <w:rsid w:val="00040646"/>
    <w:rsid w:val="00043089"/>
    <w:rsid w:val="00060F4A"/>
    <w:rsid w:val="0006131B"/>
    <w:rsid w:val="00071B89"/>
    <w:rsid w:val="000742BD"/>
    <w:rsid w:val="00075D5D"/>
    <w:rsid w:val="0008171F"/>
    <w:rsid w:val="000855C9"/>
    <w:rsid w:val="000A0A12"/>
    <w:rsid w:val="000A6E02"/>
    <w:rsid w:val="000C08EA"/>
    <w:rsid w:val="000C2C9B"/>
    <w:rsid w:val="000C5E91"/>
    <w:rsid w:val="000C7B8A"/>
    <w:rsid w:val="000E1607"/>
    <w:rsid w:val="000E6C96"/>
    <w:rsid w:val="000F2F80"/>
    <w:rsid w:val="000F7370"/>
    <w:rsid w:val="00107CAD"/>
    <w:rsid w:val="0011240B"/>
    <w:rsid w:val="00112F27"/>
    <w:rsid w:val="001137F4"/>
    <w:rsid w:val="00120638"/>
    <w:rsid w:val="00120947"/>
    <w:rsid w:val="0012550F"/>
    <w:rsid w:val="00130F54"/>
    <w:rsid w:val="0013350C"/>
    <w:rsid w:val="00141E8B"/>
    <w:rsid w:val="001441FD"/>
    <w:rsid w:val="0014590E"/>
    <w:rsid w:val="0014784C"/>
    <w:rsid w:val="001609DE"/>
    <w:rsid w:val="00160F7D"/>
    <w:rsid w:val="00161936"/>
    <w:rsid w:val="0017376A"/>
    <w:rsid w:val="00191E48"/>
    <w:rsid w:val="001944C9"/>
    <w:rsid w:val="00194CEC"/>
    <w:rsid w:val="001A4D1A"/>
    <w:rsid w:val="001B1306"/>
    <w:rsid w:val="001B634F"/>
    <w:rsid w:val="001D1E24"/>
    <w:rsid w:val="001D7B51"/>
    <w:rsid w:val="001E46F5"/>
    <w:rsid w:val="001F27A3"/>
    <w:rsid w:val="001F6FC7"/>
    <w:rsid w:val="001F7F65"/>
    <w:rsid w:val="00203F00"/>
    <w:rsid w:val="00216456"/>
    <w:rsid w:val="002325E3"/>
    <w:rsid w:val="00232A60"/>
    <w:rsid w:val="0023555A"/>
    <w:rsid w:val="0024484D"/>
    <w:rsid w:val="00247528"/>
    <w:rsid w:val="002501C1"/>
    <w:rsid w:val="0025264D"/>
    <w:rsid w:val="0025566C"/>
    <w:rsid w:val="002708D7"/>
    <w:rsid w:val="00285C06"/>
    <w:rsid w:val="002914A2"/>
    <w:rsid w:val="0029463E"/>
    <w:rsid w:val="00294FEA"/>
    <w:rsid w:val="002A43FC"/>
    <w:rsid w:val="002B3704"/>
    <w:rsid w:val="002B3CA2"/>
    <w:rsid w:val="002C4452"/>
    <w:rsid w:val="002C7C1B"/>
    <w:rsid w:val="002D71EF"/>
    <w:rsid w:val="002F59DF"/>
    <w:rsid w:val="002F7B6E"/>
    <w:rsid w:val="0031398E"/>
    <w:rsid w:val="0032065B"/>
    <w:rsid w:val="003212EA"/>
    <w:rsid w:val="003235F9"/>
    <w:rsid w:val="003255D5"/>
    <w:rsid w:val="00331E40"/>
    <w:rsid w:val="00345082"/>
    <w:rsid w:val="003470FA"/>
    <w:rsid w:val="00363AC3"/>
    <w:rsid w:val="00381DFA"/>
    <w:rsid w:val="0038537C"/>
    <w:rsid w:val="00391B00"/>
    <w:rsid w:val="00395149"/>
    <w:rsid w:val="003A2635"/>
    <w:rsid w:val="003A5727"/>
    <w:rsid w:val="003B586F"/>
    <w:rsid w:val="003C3176"/>
    <w:rsid w:val="003C393A"/>
    <w:rsid w:val="003C4035"/>
    <w:rsid w:val="003C6200"/>
    <w:rsid w:val="003D6E35"/>
    <w:rsid w:val="003E7B05"/>
    <w:rsid w:val="003F1CDE"/>
    <w:rsid w:val="003F3096"/>
    <w:rsid w:val="003F48FC"/>
    <w:rsid w:val="003F5077"/>
    <w:rsid w:val="003F7831"/>
    <w:rsid w:val="004037F7"/>
    <w:rsid w:val="00405C5C"/>
    <w:rsid w:val="004067A8"/>
    <w:rsid w:val="00411068"/>
    <w:rsid w:val="00411E49"/>
    <w:rsid w:val="004155E4"/>
    <w:rsid w:val="0042602B"/>
    <w:rsid w:val="00437345"/>
    <w:rsid w:val="00440B7A"/>
    <w:rsid w:val="004477AF"/>
    <w:rsid w:val="00450534"/>
    <w:rsid w:val="00456E58"/>
    <w:rsid w:val="00457DBA"/>
    <w:rsid w:val="00462EAA"/>
    <w:rsid w:val="0047103F"/>
    <w:rsid w:val="004723F2"/>
    <w:rsid w:val="00473231"/>
    <w:rsid w:val="004814A2"/>
    <w:rsid w:val="00487601"/>
    <w:rsid w:val="0049336A"/>
    <w:rsid w:val="00495C3D"/>
    <w:rsid w:val="00496447"/>
    <w:rsid w:val="004A0D4F"/>
    <w:rsid w:val="004A678D"/>
    <w:rsid w:val="004A72C3"/>
    <w:rsid w:val="004C784F"/>
    <w:rsid w:val="004D05CF"/>
    <w:rsid w:val="004D1350"/>
    <w:rsid w:val="004D31DE"/>
    <w:rsid w:val="004D5AD3"/>
    <w:rsid w:val="004F0AF0"/>
    <w:rsid w:val="0050212C"/>
    <w:rsid w:val="005054D5"/>
    <w:rsid w:val="00507D28"/>
    <w:rsid w:val="00523634"/>
    <w:rsid w:val="0052606F"/>
    <w:rsid w:val="005466CD"/>
    <w:rsid w:val="005546F2"/>
    <w:rsid w:val="005548F4"/>
    <w:rsid w:val="005641D6"/>
    <w:rsid w:val="00566FF0"/>
    <w:rsid w:val="00570C0B"/>
    <w:rsid w:val="0057218C"/>
    <w:rsid w:val="00576463"/>
    <w:rsid w:val="005770E6"/>
    <w:rsid w:val="005842B4"/>
    <w:rsid w:val="00591852"/>
    <w:rsid w:val="00594A61"/>
    <w:rsid w:val="005A4EF4"/>
    <w:rsid w:val="005B19A0"/>
    <w:rsid w:val="005B4105"/>
    <w:rsid w:val="005C1DF5"/>
    <w:rsid w:val="005C21B3"/>
    <w:rsid w:val="005D7202"/>
    <w:rsid w:val="005F35C6"/>
    <w:rsid w:val="00604DF9"/>
    <w:rsid w:val="00606C4F"/>
    <w:rsid w:val="006078E4"/>
    <w:rsid w:val="006123CE"/>
    <w:rsid w:val="006165E5"/>
    <w:rsid w:val="00647027"/>
    <w:rsid w:val="00655A0D"/>
    <w:rsid w:val="0066053F"/>
    <w:rsid w:val="00660960"/>
    <w:rsid w:val="006637AC"/>
    <w:rsid w:val="0066649B"/>
    <w:rsid w:val="00667EF6"/>
    <w:rsid w:val="0067411B"/>
    <w:rsid w:val="00674D44"/>
    <w:rsid w:val="006854CB"/>
    <w:rsid w:val="00686199"/>
    <w:rsid w:val="00690ADF"/>
    <w:rsid w:val="00693203"/>
    <w:rsid w:val="006A536A"/>
    <w:rsid w:val="006A6349"/>
    <w:rsid w:val="006A64B8"/>
    <w:rsid w:val="006B4EC6"/>
    <w:rsid w:val="006C5951"/>
    <w:rsid w:val="006D0C9A"/>
    <w:rsid w:val="006D660F"/>
    <w:rsid w:val="006E6309"/>
    <w:rsid w:val="0070343B"/>
    <w:rsid w:val="00715426"/>
    <w:rsid w:val="007175FB"/>
    <w:rsid w:val="00722233"/>
    <w:rsid w:val="007452AC"/>
    <w:rsid w:val="00746669"/>
    <w:rsid w:val="00761144"/>
    <w:rsid w:val="00762B4A"/>
    <w:rsid w:val="00783750"/>
    <w:rsid w:val="00785531"/>
    <w:rsid w:val="007A7995"/>
    <w:rsid w:val="007A7F0E"/>
    <w:rsid w:val="007B02E0"/>
    <w:rsid w:val="007C1EA2"/>
    <w:rsid w:val="007C31AF"/>
    <w:rsid w:val="007D27B9"/>
    <w:rsid w:val="007D30E7"/>
    <w:rsid w:val="007E0561"/>
    <w:rsid w:val="007E18CC"/>
    <w:rsid w:val="007E4C08"/>
    <w:rsid w:val="007F1BFF"/>
    <w:rsid w:val="00804651"/>
    <w:rsid w:val="00811215"/>
    <w:rsid w:val="00812DB5"/>
    <w:rsid w:val="0081729A"/>
    <w:rsid w:val="008224EA"/>
    <w:rsid w:val="00824554"/>
    <w:rsid w:val="00832729"/>
    <w:rsid w:val="0083309D"/>
    <w:rsid w:val="00846B1D"/>
    <w:rsid w:val="00853906"/>
    <w:rsid w:val="00854164"/>
    <w:rsid w:val="0085681D"/>
    <w:rsid w:val="0086310F"/>
    <w:rsid w:val="008674AA"/>
    <w:rsid w:val="008751AF"/>
    <w:rsid w:val="00881A1D"/>
    <w:rsid w:val="0089036C"/>
    <w:rsid w:val="0089571B"/>
    <w:rsid w:val="008A3F93"/>
    <w:rsid w:val="008B0875"/>
    <w:rsid w:val="008C77FA"/>
    <w:rsid w:val="008D37A9"/>
    <w:rsid w:val="008D53DD"/>
    <w:rsid w:val="008E3307"/>
    <w:rsid w:val="008F6478"/>
    <w:rsid w:val="008F7211"/>
    <w:rsid w:val="00902716"/>
    <w:rsid w:val="00902B45"/>
    <w:rsid w:val="00903A5F"/>
    <w:rsid w:val="00906F11"/>
    <w:rsid w:val="0092077F"/>
    <w:rsid w:val="00933E2D"/>
    <w:rsid w:val="00933F04"/>
    <w:rsid w:val="0093615F"/>
    <w:rsid w:val="0094159F"/>
    <w:rsid w:val="009424A7"/>
    <w:rsid w:val="009452F9"/>
    <w:rsid w:val="00950F81"/>
    <w:rsid w:val="00953D45"/>
    <w:rsid w:val="00954326"/>
    <w:rsid w:val="00957CDA"/>
    <w:rsid w:val="009720A8"/>
    <w:rsid w:val="00974ECC"/>
    <w:rsid w:val="009765A3"/>
    <w:rsid w:val="00976D48"/>
    <w:rsid w:val="0098117F"/>
    <w:rsid w:val="009834E2"/>
    <w:rsid w:val="00985EA8"/>
    <w:rsid w:val="00995508"/>
    <w:rsid w:val="009A0F83"/>
    <w:rsid w:val="009A1E7E"/>
    <w:rsid w:val="009A2DBD"/>
    <w:rsid w:val="009A35B1"/>
    <w:rsid w:val="009A4D90"/>
    <w:rsid w:val="009A7744"/>
    <w:rsid w:val="009B4DB8"/>
    <w:rsid w:val="009B5858"/>
    <w:rsid w:val="009B5A1D"/>
    <w:rsid w:val="009B6BEF"/>
    <w:rsid w:val="009C2AD4"/>
    <w:rsid w:val="009C703E"/>
    <w:rsid w:val="009E2C3B"/>
    <w:rsid w:val="009E4912"/>
    <w:rsid w:val="009E4EE5"/>
    <w:rsid w:val="009E7C02"/>
    <w:rsid w:val="009F2A55"/>
    <w:rsid w:val="00A03AF2"/>
    <w:rsid w:val="00A23849"/>
    <w:rsid w:val="00A23FEC"/>
    <w:rsid w:val="00A24D25"/>
    <w:rsid w:val="00A304E8"/>
    <w:rsid w:val="00A31372"/>
    <w:rsid w:val="00A33AD4"/>
    <w:rsid w:val="00A33C6E"/>
    <w:rsid w:val="00A36F52"/>
    <w:rsid w:val="00A42348"/>
    <w:rsid w:val="00A5516B"/>
    <w:rsid w:val="00A64546"/>
    <w:rsid w:val="00A64787"/>
    <w:rsid w:val="00A66291"/>
    <w:rsid w:val="00A664DC"/>
    <w:rsid w:val="00A7187C"/>
    <w:rsid w:val="00A72218"/>
    <w:rsid w:val="00A844DB"/>
    <w:rsid w:val="00AB1BB2"/>
    <w:rsid w:val="00AC078C"/>
    <w:rsid w:val="00AC63BD"/>
    <w:rsid w:val="00AD1605"/>
    <w:rsid w:val="00AD3255"/>
    <w:rsid w:val="00AD4A31"/>
    <w:rsid w:val="00AE0CDF"/>
    <w:rsid w:val="00AE3386"/>
    <w:rsid w:val="00AF0202"/>
    <w:rsid w:val="00AF12BF"/>
    <w:rsid w:val="00AF473C"/>
    <w:rsid w:val="00AF7496"/>
    <w:rsid w:val="00B03019"/>
    <w:rsid w:val="00B07E8D"/>
    <w:rsid w:val="00B11BA2"/>
    <w:rsid w:val="00B128C6"/>
    <w:rsid w:val="00B163C7"/>
    <w:rsid w:val="00B212EE"/>
    <w:rsid w:val="00B3071C"/>
    <w:rsid w:val="00B30C1A"/>
    <w:rsid w:val="00B36A09"/>
    <w:rsid w:val="00B433E5"/>
    <w:rsid w:val="00B5529B"/>
    <w:rsid w:val="00B63BCF"/>
    <w:rsid w:val="00B80F9B"/>
    <w:rsid w:val="00B8549F"/>
    <w:rsid w:val="00B85B3B"/>
    <w:rsid w:val="00B86788"/>
    <w:rsid w:val="00B903C6"/>
    <w:rsid w:val="00B91C46"/>
    <w:rsid w:val="00B9220E"/>
    <w:rsid w:val="00B9331A"/>
    <w:rsid w:val="00B9480F"/>
    <w:rsid w:val="00BA6BEC"/>
    <w:rsid w:val="00BB5688"/>
    <w:rsid w:val="00BC0D49"/>
    <w:rsid w:val="00BC7DE8"/>
    <w:rsid w:val="00BD02D2"/>
    <w:rsid w:val="00BD4A0E"/>
    <w:rsid w:val="00BD5453"/>
    <w:rsid w:val="00BD6649"/>
    <w:rsid w:val="00BF33B4"/>
    <w:rsid w:val="00BF73DC"/>
    <w:rsid w:val="00C10A52"/>
    <w:rsid w:val="00C112BB"/>
    <w:rsid w:val="00C22D6B"/>
    <w:rsid w:val="00C337A8"/>
    <w:rsid w:val="00C41432"/>
    <w:rsid w:val="00C56870"/>
    <w:rsid w:val="00C62685"/>
    <w:rsid w:val="00C6427E"/>
    <w:rsid w:val="00C70093"/>
    <w:rsid w:val="00C72125"/>
    <w:rsid w:val="00C76B22"/>
    <w:rsid w:val="00C77BD6"/>
    <w:rsid w:val="00CA0822"/>
    <w:rsid w:val="00CA45E3"/>
    <w:rsid w:val="00CB0582"/>
    <w:rsid w:val="00CB1B5C"/>
    <w:rsid w:val="00CB54FC"/>
    <w:rsid w:val="00CB67B1"/>
    <w:rsid w:val="00CB7E40"/>
    <w:rsid w:val="00CC0992"/>
    <w:rsid w:val="00CC3985"/>
    <w:rsid w:val="00CD2214"/>
    <w:rsid w:val="00CD2529"/>
    <w:rsid w:val="00CE4E31"/>
    <w:rsid w:val="00CF1B1B"/>
    <w:rsid w:val="00CF2D18"/>
    <w:rsid w:val="00CF61F1"/>
    <w:rsid w:val="00CF7294"/>
    <w:rsid w:val="00D00C21"/>
    <w:rsid w:val="00D054AC"/>
    <w:rsid w:val="00D1422D"/>
    <w:rsid w:val="00D15275"/>
    <w:rsid w:val="00D3318B"/>
    <w:rsid w:val="00D33B1F"/>
    <w:rsid w:val="00D4134C"/>
    <w:rsid w:val="00D45AF3"/>
    <w:rsid w:val="00D5002B"/>
    <w:rsid w:val="00D6206D"/>
    <w:rsid w:val="00D6435B"/>
    <w:rsid w:val="00D64DA2"/>
    <w:rsid w:val="00D672ED"/>
    <w:rsid w:val="00D74939"/>
    <w:rsid w:val="00D7634E"/>
    <w:rsid w:val="00D774D9"/>
    <w:rsid w:val="00D803BD"/>
    <w:rsid w:val="00DA1EF1"/>
    <w:rsid w:val="00DB0DFA"/>
    <w:rsid w:val="00DB5DB5"/>
    <w:rsid w:val="00DC1CA9"/>
    <w:rsid w:val="00DC2F44"/>
    <w:rsid w:val="00DC41FC"/>
    <w:rsid w:val="00DD4ED0"/>
    <w:rsid w:val="00DD54AE"/>
    <w:rsid w:val="00DE4798"/>
    <w:rsid w:val="00DE4C5B"/>
    <w:rsid w:val="00DF19A2"/>
    <w:rsid w:val="00DF29B5"/>
    <w:rsid w:val="00DF4771"/>
    <w:rsid w:val="00E03918"/>
    <w:rsid w:val="00E12A1E"/>
    <w:rsid w:val="00E146F2"/>
    <w:rsid w:val="00E158AC"/>
    <w:rsid w:val="00E1756A"/>
    <w:rsid w:val="00E21DB4"/>
    <w:rsid w:val="00E21E25"/>
    <w:rsid w:val="00E3098C"/>
    <w:rsid w:val="00E33507"/>
    <w:rsid w:val="00E43472"/>
    <w:rsid w:val="00E43A6B"/>
    <w:rsid w:val="00E46EDD"/>
    <w:rsid w:val="00E52CAC"/>
    <w:rsid w:val="00E53093"/>
    <w:rsid w:val="00E60D76"/>
    <w:rsid w:val="00E639EA"/>
    <w:rsid w:val="00E666B9"/>
    <w:rsid w:val="00E66C6A"/>
    <w:rsid w:val="00E70519"/>
    <w:rsid w:val="00E7175C"/>
    <w:rsid w:val="00E7406B"/>
    <w:rsid w:val="00E8190A"/>
    <w:rsid w:val="00E85EC9"/>
    <w:rsid w:val="00E93B08"/>
    <w:rsid w:val="00EA447B"/>
    <w:rsid w:val="00EA66D6"/>
    <w:rsid w:val="00EB0F27"/>
    <w:rsid w:val="00EB19D2"/>
    <w:rsid w:val="00EB4435"/>
    <w:rsid w:val="00EC0983"/>
    <w:rsid w:val="00ED0313"/>
    <w:rsid w:val="00ED3DB7"/>
    <w:rsid w:val="00EE712B"/>
    <w:rsid w:val="00EF2203"/>
    <w:rsid w:val="00F0175B"/>
    <w:rsid w:val="00F160C1"/>
    <w:rsid w:val="00F20FCF"/>
    <w:rsid w:val="00F22864"/>
    <w:rsid w:val="00F36B14"/>
    <w:rsid w:val="00F45D5E"/>
    <w:rsid w:val="00F50F0B"/>
    <w:rsid w:val="00F57294"/>
    <w:rsid w:val="00F7176D"/>
    <w:rsid w:val="00F7414F"/>
    <w:rsid w:val="00F74626"/>
    <w:rsid w:val="00F76799"/>
    <w:rsid w:val="00F8076E"/>
    <w:rsid w:val="00FB5C75"/>
    <w:rsid w:val="00FB722C"/>
    <w:rsid w:val="00FD5EF9"/>
    <w:rsid w:val="00FE54B2"/>
    <w:rsid w:val="00FE7ED2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56920"/>
  <w15:chartTrackingRefBased/>
  <w15:docId w15:val="{6E296444-0FB7-4FDD-8D9F-878DC158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236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7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29A"/>
  </w:style>
  <w:style w:type="paragraph" w:styleId="Piedepgina">
    <w:name w:val="footer"/>
    <w:basedOn w:val="Normal"/>
    <w:link w:val="PiedepginaCar"/>
    <w:uiPriority w:val="99"/>
    <w:unhideWhenUsed/>
    <w:rsid w:val="00817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29A"/>
  </w:style>
  <w:style w:type="character" w:styleId="Hipervnculo">
    <w:name w:val="Hyperlink"/>
    <w:basedOn w:val="Fuentedeprrafopredeter"/>
    <w:uiPriority w:val="99"/>
    <w:unhideWhenUsed/>
    <w:rsid w:val="0081729A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946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463E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7A7F0E"/>
    <w:pPr>
      <w:widowControl w:val="0"/>
      <w:autoSpaceDE w:val="0"/>
      <w:autoSpaceDN w:val="0"/>
      <w:spacing w:after="0" w:line="240" w:lineRule="auto"/>
      <w:ind w:left="932" w:right="1250"/>
      <w:jc w:val="center"/>
    </w:pPr>
    <w:rPr>
      <w:rFonts w:ascii="Arial MT" w:eastAsia="Arial MT" w:hAnsi="Arial MT" w:cs="Arial MT"/>
      <w:kern w:val="0"/>
      <w:sz w:val="48"/>
      <w:szCs w:val="48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7A7F0E"/>
    <w:rPr>
      <w:rFonts w:ascii="Arial MT" w:eastAsia="Arial MT" w:hAnsi="Arial MT" w:cs="Arial MT"/>
      <w:kern w:val="0"/>
      <w:sz w:val="48"/>
      <w:szCs w:val="48"/>
      <w:lang w:val="es-ES"/>
      <w14:ligatures w14:val="none"/>
    </w:rPr>
  </w:style>
  <w:style w:type="paragraph" w:customStyle="1" w:styleId="gmail-msolistparagraph">
    <w:name w:val="gmail-msolistparagraph"/>
    <w:basedOn w:val="Normal"/>
    <w:rsid w:val="009765A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val="es-419" w:eastAsia="es-419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071B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542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82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95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5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62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2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4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2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drd.gov.co/transparencia-acceso-informacion-publica/planeacion-presupuesto-informes/plan-de-accion/programa-de-transparencia-y-etica-publ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1250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Caicedo</dc:creator>
  <cp:keywords/>
  <dc:description/>
  <cp:lastModifiedBy>Janeth Ontibon Moreno</cp:lastModifiedBy>
  <cp:revision>5</cp:revision>
  <dcterms:created xsi:type="dcterms:W3CDTF">2026-01-07T20:26:00Z</dcterms:created>
  <dcterms:modified xsi:type="dcterms:W3CDTF">2026-01-07T20:41:00Z</dcterms:modified>
</cp:coreProperties>
</file>