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FA0F" w14:textId="77777777" w:rsidR="0081729A" w:rsidRDefault="0081729A" w:rsidP="00523634">
      <w:pPr>
        <w:jc w:val="center"/>
        <w:rPr>
          <w:b/>
          <w:bCs/>
        </w:rPr>
      </w:pPr>
      <w:bookmarkStart w:id="0" w:name="_GoBack"/>
      <w:bookmarkEnd w:id="0"/>
    </w:p>
    <w:p w14:paraId="5226429E" w14:textId="0BEAC90D" w:rsidR="00950F81" w:rsidRPr="0098117F" w:rsidRDefault="00950F81" w:rsidP="00523634">
      <w:pPr>
        <w:jc w:val="center"/>
        <w:rPr>
          <w:b/>
          <w:bCs/>
        </w:rPr>
      </w:pPr>
      <w:r w:rsidRPr="0098117F">
        <w:rPr>
          <w:b/>
          <w:bCs/>
        </w:rPr>
        <w:t xml:space="preserve">ADMINISTRACIÓN DE RIESGOS </w:t>
      </w:r>
      <w:r w:rsidR="00BD4A0E" w:rsidRPr="0098117F">
        <w:rPr>
          <w:b/>
          <w:bCs/>
        </w:rPr>
        <w:t xml:space="preserve">DE </w:t>
      </w:r>
      <w:r w:rsidR="00693203" w:rsidRPr="0098117F">
        <w:rPr>
          <w:b/>
          <w:bCs/>
        </w:rPr>
        <w:t>GESTIÓN</w:t>
      </w:r>
      <w:r w:rsidR="00BD4A0E" w:rsidRPr="0098117F">
        <w:rPr>
          <w:b/>
          <w:bCs/>
        </w:rPr>
        <w:t xml:space="preserve"> </w:t>
      </w:r>
      <w:r w:rsidR="00DF4771">
        <w:rPr>
          <w:b/>
          <w:bCs/>
        </w:rPr>
        <w:t xml:space="preserve">Y DE CORRUPCIÓN </w:t>
      </w:r>
      <w:r w:rsidRPr="0098117F">
        <w:rPr>
          <w:b/>
          <w:bCs/>
        </w:rPr>
        <w:t>EN EL I</w:t>
      </w:r>
      <w:r w:rsidR="00F76799" w:rsidRPr="0098117F">
        <w:rPr>
          <w:b/>
          <w:bCs/>
        </w:rPr>
        <w:t>NSTITUTO DISTRITAL DE RECREACIÓN Y DEPORTE</w:t>
      </w:r>
    </w:p>
    <w:p w14:paraId="4A87B3A4" w14:textId="6057744D" w:rsidR="00523634" w:rsidRPr="0098117F" w:rsidRDefault="00523634" w:rsidP="00523634">
      <w:pPr>
        <w:jc w:val="center"/>
        <w:rPr>
          <w:b/>
          <w:bCs/>
        </w:rPr>
      </w:pPr>
      <w:r w:rsidRPr="0098117F">
        <w:rPr>
          <w:b/>
          <w:bCs/>
        </w:rPr>
        <w:t>SEGUNDA LÍNEA DE DEFENSA</w:t>
      </w:r>
    </w:p>
    <w:p w14:paraId="0EF53A27" w14:textId="4F9C313D" w:rsidR="006A64B8" w:rsidRPr="0098117F" w:rsidRDefault="006A64B8" w:rsidP="00523634">
      <w:pPr>
        <w:jc w:val="center"/>
        <w:rPr>
          <w:b/>
          <w:bCs/>
        </w:rPr>
      </w:pPr>
      <w:r w:rsidRPr="0098117F">
        <w:rPr>
          <w:b/>
          <w:bCs/>
        </w:rPr>
        <w:t xml:space="preserve">TRIMESTRE: </w:t>
      </w:r>
      <w:r w:rsidR="007452AC">
        <w:rPr>
          <w:b/>
          <w:bCs/>
        </w:rPr>
        <w:t xml:space="preserve">CUARTO </w:t>
      </w:r>
      <w:r w:rsidRPr="0098117F">
        <w:rPr>
          <w:b/>
          <w:bCs/>
        </w:rPr>
        <w:t>DE 2024</w:t>
      </w:r>
    </w:p>
    <w:p w14:paraId="19B3DE78" w14:textId="77777777" w:rsidR="00523634" w:rsidRPr="0098117F" w:rsidRDefault="00523634" w:rsidP="00523634">
      <w:pPr>
        <w:rPr>
          <w:b/>
          <w:bCs/>
        </w:rPr>
      </w:pPr>
    </w:p>
    <w:p w14:paraId="7E601D36" w14:textId="0C2F2F5D" w:rsidR="00523634" w:rsidRPr="0098117F" w:rsidRDefault="00523634" w:rsidP="00523634">
      <w:pPr>
        <w:pStyle w:val="Prrafodelista"/>
        <w:numPr>
          <w:ilvl w:val="0"/>
          <w:numId w:val="1"/>
        </w:numPr>
        <w:rPr>
          <w:b/>
          <w:bCs/>
        </w:rPr>
      </w:pPr>
      <w:r w:rsidRPr="0098117F">
        <w:rPr>
          <w:b/>
          <w:bCs/>
        </w:rPr>
        <w:t xml:space="preserve">Introducción </w:t>
      </w:r>
    </w:p>
    <w:p w14:paraId="76F47ED9" w14:textId="61E3A7FE" w:rsidR="00B63BCF" w:rsidRPr="0098117F" w:rsidRDefault="00523634" w:rsidP="00523634">
      <w:pPr>
        <w:jc w:val="both"/>
      </w:pPr>
      <w:r w:rsidRPr="0098117F">
        <w:t xml:space="preserve">En el marco de la Política de Administración de Riesgos en el Instituto Distrital de Recreación y Deporte, versión </w:t>
      </w:r>
      <w:r w:rsidR="006A64B8" w:rsidRPr="0098117F">
        <w:t>7</w:t>
      </w:r>
      <w:r w:rsidRPr="0098117F">
        <w:t xml:space="preserve"> de</w:t>
      </w:r>
      <w:r w:rsidR="00022416" w:rsidRPr="0098117F">
        <w:t xml:space="preserve"> </w:t>
      </w:r>
      <w:r w:rsidR="006A64B8" w:rsidRPr="0098117F">
        <w:t xml:space="preserve">junio </w:t>
      </w:r>
      <w:r w:rsidRPr="0098117F">
        <w:t>de 202</w:t>
      </w:r>
      <w:r w:rsidR="006A64B8" w:rsidRPr="0098117F">
        <w:t>4</w:t>
      </w:r>
      <w:r w:rsidRPr="0098117F">
        <w:t xml:space="preserve">, </w:t>
      </w:r>
      <w:r w:rsidR="003255D5" w:rsidRPr="0098117F">
        <w:t xml:space="preserve">la Oficina Asesora de Planeación, </w:t>
      </w:r>
      <w:r w:rsidR="00715426" w:rsidRPr="0098117F">
        <w:t xml:space="preserve">en su rol de segunda línea de defensa, </w:t>
      </w:r>
      <w:r w:rsidR="005D7202" w:rsidRPr="0098117F">
        <w:t xml:space="preserve">debe realizar monitoreo a los controles, planes de acción e indicadores de los riesgos </w:t>
      </w:r>
      <w:r w:rsidR="00BD4A0E" w:rsidRPr="0098117F">
        <w:t xml:space="preserve">de </w:t>
      </w:r>
      <w:r w:rsidR="00693203" w:rsidRPr="0098117F">
        <w:t>gestión</w:t>
      </w:r>
      <w:r w:rsidR="00BD4A0E" w:rsidRPr="0098117F">
        <w:t xml:space="preserve"> </w:t>
      </w:r>
      <w:r w:rsidR="005D7202" w:rsidRPr="0098117F">
        <w:t xml:space="preserve">de los procesos, </w:t>
      </w:r>
      <w:r w:rsidR="00DE4798" w:rsidRPr="0098117F">
        <w:t xml:space="preserve">a fin de conocer los resultados </w:t>
      </w:r>
      <w:r w:rsidR="00E93B08" w:rsidRPr="0098117F">
        <w:t>alcanzados en el período</w:t>
      </w:r>
      <w:r w:rsidR="007D30E7" w:rsidRPr="0098117F">
        <w:t xml:space="preserve">, </w:t>
      </w:r>
      <w:r w:rsidR="00E93B08" w:rsidRPr="0098117F">
        <w:t>concluir si se</w:t>
      </w:r>
      <w:r w:rsidR="003C4035" w:rsidRPr="0098117F">
        <w:t xml:space="preserve"> han</w:t>
      </w:r>
      <w:r w:rsidR="00E93B08" w:rsidRPr="0098117F">
        <w:t xml:space="preserve"> </w:t>
      </w:r>
      <w:r w:rsidR="00B63BCF" w:rsidRPr="0098117F">
        <w:t>implementado conforme a lo establecido</w:t>
      </w:r>
      <w:r w:rsidR="007D30E7" w:rsidRPr="0098117F">
        <w:t xml:space="preserve"> y </w:t>
      </w:r>
      <w:r w:rsidR="00232A60" w:rsidRPr="0098117F">
        <w:t>determinar</w:t>
      </w:r>
      <w:r w:rsidR="007D30E7" w:rsidRPr="0098117F">
        <w:t xml:space="preserve"> oportun</w:t>
      </w:r>
      <w:r w:rsidR="00C10A52" w:rsidRPr="0098117F">
        <w:t xml:space="preserve">idades de mejora. </w:t>
      </w:r>
    </w:p>
    <w:p w14:paraId="55A53C96" w14:textId="19D8EFD1" w:rsidR="00523634" w:rsidRPr="0098117F" w:rsidRDefault="00C77BD6" w:rsidP="00523634">
      <w:pPr>
        <w:jc w:val="both"/>
      </w:pPr>
      <w:r w:rsidRPr="0098117F">
        <w:t xml:space="preserve">Este monitoreo </w:t>
      </w:r>
      <w:r w:rsidR="00881A1D" w:rsidRPr="0098117F">
        <w:t xml:space="preserve">se realiza </w:t>
      </w:r>
      <w:r w:rsidRPr="0098117F">
        <w:t xml:space="preserve">en las siguientes </w:t>
      </w:r>
      <w:r w:rsidR="00881A1D" w:rsidRPr="0098117F">
        <w:t>periodicidades</w:t>
      </w:r>
      <w:r w:rsidR="003C4035" w:rsidRPr="0098117F">
        <w:t>,</w:t>
      </w:r>
      <w:r w:rsidR="00881A1D" w:rsidRPr="0098117F">
        <w:t xml:space="preserve"> c</w:t>
      </w:r>
      <w:r w:rsidR="00761144" w:rsidRPr="0098117F">
        <w:t xml:space="preserve">uyos </w:t>
      </w:r>
      <w:r w:rsidR="00881A1D" w:rsidRPr="0098117F">
        <w:t>objetivos particulares</w:t>
      </w:r>
      <w:r w:rsidRPr="0098117F">
        <w:t>, son:</w:t>
      </w:r>
    </w:p>
    <w:p w14:paraId="0C4D3271" w14:textId="77777777" w:rsidR="0029463E" w:rsidRPr="0098117F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0894BEF8" w14:textId="77777777" w:rsidR="0029463E" w:rsidRPr="0098117F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6"/>
        </w:tabs>
        <w:autoSpaceDE w:val="0"/>
        <w:autoSpaceDN w:val="0"/>
        <w:spacing w:after="0" w:line="240" w:lineRule="auto"/>
        <w:ind w:left="996" w:hanging="356"/>
        <w:contextualSpacing w:val="0"/>
      </w:pPr>
      <w:r w:rsidRPr="0098117F">
        <w:rPr>
          <w:b/>
          <w:bCs/>
        </w:rPr>
        <w:t>Mensualmente</w:t>
      </w:r>
      <w:r w:rsidRPr="0098117F">
        <w:t xml:space="preserve"> a través de la consulta en la plataforma ISOLUCION:</w:t>
      </w:r>
    </w:p>
    <w:p w14:paraId="4D6EE01F" w14:textId="77777777" w:rsidR="0029463E" w:rsidRPr="0098117F" w:rsidRDefault="0029463E" w:rsidP="0029463E">
      <w:pPr>
        <w:pStyle w:val="Textoindependiente"/>
        <w:spacing w:before="3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3198EFA9" w14:textId="77777777"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50"/>
        <w:contextualSpacing w:val="0"/>
        <w:jc w:val="both"/>
      </w:pPr>
      <w:r w:rsidRPr="0098117F">
        <w:t>Verificación de la implementación de las actividades establecidas en los planes de acción (matrices de riesgos) en las fechas establecidas.</w:t>
      </w:r>
    </w:p>
    <w:p w14:paraId="532EFD89" w14:textId="77777777"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Cargue adecuado, completo y coherente de las evidencias de acuerdo con la información establecida en los planes de acción.</w:t>
      </w:r>
    </w:p>
    <w:p w14:paraId="4F0A0CC2" w14:textId="77777777" w:rsidR="003470FA" w:rsidRPr="0098117F" w:rsidRDefault="0029463E" w:rsidP="003470FA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Verificación de la información de mediciones de los indicadores y revisión de resultados para evaluar si el riesgo se ha materializado. Si el indicador se incumple se procede a generar la respectiva acción correctiva.</w:t>
      </w:r>
    </w:p>
    <w:p w14:paraId="1DB519CF" w14:textId="54BB89FA" w:rsidR="009765A3" w:rsidRPr="00A7736D" w:rsidRDefault="003470FA" w:rsidP="003470FA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A7736D">
        <w:t>Revisión de</w:t>
      </w:r>
      <w:r w:rsidR="009765A3" w:rsidRPr="00A7736D">
        <w:t xml:space="preserve"> las evidencias y la coherencia con los indicadores formulados</w:t>
      </w:r>
    </w:p>
    <w:p w14:paraId="21182FA9" w14:textId="77777777" w:rsidR="009765A3" w:rsidRPr="0098117F" w:rsidRDefault="009765A3" w:rsidP="009765A3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479" w:right="944"/>
        <w:contextualSpacing w:val="0"/>
      </w:pPr>
    </w:p>
    <w:p w14:paraId="60361E87" w14:textId="77777777" w:rsidR="0029463E" w:rsidRPr="0098117F" w:rsidRDefault="0029463E" w:rsidP="0029463E">
      <w:pPr>
        <w:pStyle w:val="Prrafodelista"/>
        <w:widowControl w:val="0"/>
        <w:tabs>
          <w:tab w:val="left" w:pos="997"/>
        </w:tabs>
        <w:autoSpaceDE w:val="0"/>
        <w:autoSpaceDN w:val="0"/>
        <w:spacing w:after="0" w:line="240" w:lineRule="auto"/>
        <w:ind w:left="997"/>
        <w:contextualSpacing w:val="0"/>
      </w:pPr>
    </w:p>
    <w:p w14:paraId="1A71D3EC" w14:textId="1D4E4EEA" w:rsidR="0029463E" w:rsidRPr="0098117F" w:rsidRDefault="0029463E" w:rsidP="0029463E">
      <w:pPr>
        <w:pStyle w:val="Prrafodelista"/>
        <w:widowControl w:val="0"/>
        <w:numPr>
          <w:ilvl w:val="2"/>
          <w:numId w:val="8"/>
        </w:numPr>
        <w:tabs>
          <w:tab w:val="left" w:pos="997"/>
        </w:tabs>
        <w:autoSpaceDE w:val="0"/>
        <w:autoSpaceDN w:val="0"/>
        <w:spacing w:after="0" w:line="240" w:lineRule="auto"/>
        <w:ind w:left="997" w:hanging="357"/>
        <w:contextualSpacing w:val="0"/>
      </w:pPr>
      <w:r w:rsidRPr="0098117F">
        <w:rPr>
          <w:b/>
          <w:bCs/>
        </w:rPr>
        <w:t>Trimestralmente</w:t>
      </w:r>
      <w:r w:rsidRPr="0098117F">
        <w:t xml:space="preserve"> a través de revisiones presenciales o virtuales con los procesos:</w:t>
      </w:r>
    </w:p>
    <w:p w14:paraId="1BDBC88C" w14:textId="77777777" w:rsidR="0029463E" w:rsidRPr="0098117F" w:rsidRDefault="0029463E" w:rsidP="0029463E">
      <w:pPr>
        <w:pStyle w:val="Textoindependiente"/>
        <w:rPr>
          <w:rFonts w:asciiTheme="minorHAnsi" w:eastAsiaTheme="minorHAnsi" w:hAnsiTheme="minorHAnsi" w:cstheme="minorBidi"/>
          <w:kern w:val="2"/>
          <w:sz w:val="22"/>
          <w:szCs w:val="22"/>
          <w:lang w:val="es-CO"/>
          <w14:ligatures w14:val="standardContextual"/>
        </w:rPr>
      </w:pPr>
    </w:p>
    <w:p w14:paraId="59A96518" w14:textId="77777777" w:rsidR="0029463E" w:rsidRPr="0098117F" w:rsidRDefault="0029463E" w:rsidP="0029463E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36"/>
        <w:contextualSpacing w:val="0"/>
        <w:jc w:val="both"/>
      </w:pPr>
      <w:r w:rsidRPr="0098117F">
        <w:t>Seguimiento a la ejecución y eficacia de los controles mediante la verificación de las evidencias establecidas en los mapas de riesgos y el cumplimiento del propósito para el cual fueron creadas.</w:t>
      </w:r>
    </w:p>
    <w:p w14:paraId="5EA5756E" w14:textId="77777777" w:rsidR="00CA45E3" w:rsidRPr="0098117F" w:rsidRDefault="0029463E" w:rsidP="00CA45E3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98117F">
        <w:t>Evaluación de la necesidad de ajustar las matrices como resultado de la implementación de controles, planes de acción y análisis de indicadores de riesgos.</w:t>
      </w:r>
    </w:p>
    <w:p w14:paraId="7CA9957F" w14:textId="73AAFABA" w:rsidR="00CA45E3" w:rsidRPr="0098117F" w:rsidRDefault="001609DE" w:rsidP="00CA45E3">
      <w:pPr>
        <w:pStyle w:val="Prrafodelista"/>
        <w:widowControl w:val="0"/>
        <w:numPr>
          <w:ilvl w:val="3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right="944"/>
        <w:contextualSpacing w:val="0"/>
        <w:jc w:val="both"/>
      </w:pPr>
      <w:r w:rsidRPr="00A7736D">
        <w:t>R</w:t>
      </w:r>
      <w:r w:rsidR="00CA45E3" w:rsidRPr="00A7736D">
        <w:t>evis</w:t>
      </w:r>
      <w:r w:rsidRPr="00A7736D">
        <w:t xml:space="preserve">ión de </w:t>
      </w:r>
      <w:r w:rsidR="00EA66D6" w:rsidRPr="00A7736D">
        <w:t xml:space="preserve">las acciones tomadas de las </w:t>
      </w:r>
      <w:r w:rsidR="00CA45E3" w:rsidRPr="00A7736D">
        <w:t xml:space="preserve">observaciones </w:t>
      </w:r>
      <w:r w:rsidR="00EA66D6" w:rsidRPr="00A7736D">
        <w:t>generadas</w:t>
      </w:r>
      <w:r w:rsidR="00CA45E3" w:rsidRPr="00A7736D">
        <w:t xml:space="preserve"> </w:t>
      </w:r>
      <w:r w:rsidR="00EA66D6" w:rsidRPr="00A7736D">
        <w:t xml:space="preserve">en el monitoreo anterior. </w:t>
      </w:r>
    </w:p>
    <w:p w14:paraId="1671F684" w14:textId="77777777" w:rsidR="00CA45E3" w:rsidRPr="0098117F" w:rsidRDefault="00CA45E3" w:rsidP="00EA66D6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1396" w:right="944"/>
        <w:contextualSpacing w:val="0"/>
      </w:pPr>
    </w:p>
    <w:p w14:paraId="433B3A54" w14:textId="77777777" w:rsidR="0029463E" w:rsidRPr="0098117F" w:rsidRDefault="0029463E" w:rsidP="0029463E">
      <w:pPr>
        <w:pStyle w:val="Prrafodelista"/>
        <w:widowControl w:val="0"/>
        <w:tabs>
          <w:tab w:val="left" w:pos="1396"/>
        </w:tabs>
        <w:autoSpaceDE w:val="0"/>
        <w:autoSpaceDN w:val="0"/>
        <w:spacing w:after="0" w:line="240" w:lineRule="auto"/>
        <w:ind w:left="1396" w:right="944"/>
        <w:contextualSpacing w:val="0"/>
        <w:jc w:val="right"/>
      </w:pPr>
    </w:p>
    <w:p w14:paraId="6022D6BA" w14:textId="72AA21CF" w:rsidR="00C56870" w:rsidRPr="0098117F" w:rsidRDefault="00C56870" w:rsidP="00C56870">
      <w:pPr>
        <w:jc w:val="both"/>
      </w:pPr>
      <w:r w:rsidRPr="0098117F">
        <w:t xml:space="preserve">Este informe </w:t>
      </w:r>
      <w:r w:rsidR="00E60D76" w:rsidRPr="0098117F">
        <w:t xml:space="preserve">presenta los resultados de la verificación trimestral </w:t>
      </w:r>
      <w:r w:rsidR="006A6349" w:rsidRPr="0098117F">
        <w:t xml:space="preserve">que se realizaron a los controles </w:t>
      </w:r>
      <w:r w:rsidR="00762B4A" w:rsidRPr="0098117F">
        <w:t xml:space="preserve">de cada uno de los </w:t>
      </w:r>
      <w:r w:rsidR="00604DF9" w:rsidRPr="0098117F">
        <w:t>riesgos de</w:t>
      </w:r>
      <w:r w:rsidR="00CD2529" w:rsidRPr="0098117F">
        <w:t xml:space="preserve"> </w:t>
      </w:r>
      <w:r w:rsidR="00832729">
        <w:t xml:space="preserve">gestión y de </w:t>
      </w:r>
      <w:r w:rsidR="00CD2529" w:rsidRPr="0098117F">
        <w:t>corrupción</w:t>
      </w:r>
      <w:r w:rsidR="00A33C6E" w:rsidRPr="0098117F">
        <w:t xml:space="preserve"> que</w:t>
      </w:r>
      <w:r w:rsidR="0089571B" w:rsidRPr="0098117F">
        <w:t xml:space="preserve"> hacen parte del sistema de gestión del IDRD. </w:t>
      </w:r>
      <w:r w:rsidR="00A72218" w:rsidRPr="0098117F">
        <w:lastRenderedPageBreak/>
        <w:t>Para ello se realizaron reuniones</w:t>
      </w:r>
      <w:r w:rsidR="006C5951" w:rsidRPr="0098117F">
        <w:t xml:space="preserve"> </w:t>
      </w:r>
      <w:r w:rsidR="00EA447B" w:rsidRPr="0098117F">
        <w:t xml:space="preserve">por parte de la Oficina Asesora de Planeación </w:t>
      </w:r>
      <w:r w:rsidR="006C5951" w:rsidRPr="0098117F">
        <w:t xml:space="preserve">con los profesionales responsables </w:t>
      </w:r>
      <w:r w:rsidR="00832729">
        <w:t xml:space="preserve">de </w:t>
      </w:r>
      <w:r w:rsidR="00EA447B" w:rsidRPr="0098117F">
        <w:t xml:space="preserve">coordinar la gestión del riesgo en </w:t>
      </w:r>
      <w:r w:rsidR="00B11BA2" w:rsidRPr="0098117F">
        <w:t xml:space="preserve">cada uno de </w:t>
      </w:r>
      <w:r w:rsidR="00EA447B" w:rsidRPr="0098117F">
        <w:t>los procesos</w:t>
      </w:r>
      <w:r w:rsidR="003C6200" w:rsidRPr="0098117F">
        <w:t>,</w:t>
      </w:r>
      <w:r w:rsidR="00B11BA2" w:rsidRPr="0098117F">
        <w:t xml:space="preserve"> solicitando las evidencias que respaldan la implementación de los controles. </w:t>
      </w:r>
    </w:p>
    <w:p w14:paraId="4FBA1016" w14:textId="52D0317D" w:rsidR="004814A2" w:rsidRPr="0098117F" w:rsidRDefault="00D00C21" w:rsidP="004814A2">
      <w:pPr>
        <w:jc w:val="both"/>
      </w:pPr>
      <w:r w:rsidRPr="0098117F">
        <w:t>L</w:t>
      </w:r>
      <w:r w:rsidR="00CA0822" w:rsidRPr="0098117F">
        <w:t>a</w:t>
      </w:r>
      <w:r w:rsidR="00606C4F" w:rsidRPr="0098117F">
        <w:t xml:space="preserve">s </w:t>
      </w:r>
      <w:r w:rsidR="00CA0822" w:rsidRPr="0098117F">
        <w:t xml:space="preserve">conclusiones y </w:t>
      </w:r>
      <w:r w:rsidR="00957CDA" w:rsidRPr="0098117F">
        <w:t>decisione</w:t>
      </w:r>
      <w:r w:rsidR="00CA0822" w:rsidRPr="0098117F">
        <w:t xml:space="preserve">s resultantes </w:t>
      </w:r>
      <w:r w:rsidR="00606C4F" w:rsidRPr="0098117F">
        <w:t>d</w:t>
      </w:r>
      <w:r w:rsidR="007B02E0" w:rsidRPr="0098117F">
        <w:t xml:space="preserve">e </w:t>
      </w:r>
      <w:r w:rsidR="006E6309" w:rsidRPr="0098117F">
        <w:t>este monitoreo se</w:t>
      </w:r>
      <w:r w:rsidR="00E666B9" w:rsidRPr="0098117F">
        <w:t xml:space="preserve"> presentan </w:t>
      </w:r>
      <w:r w:rsidR="004814A2" w:rsidRPr="0098117F">
        <w:t xml:space="preserve">en: </w:t>
      </w:r>
    </w:p>
    <w:p w14:paraId="5E90B9C8" w14:textId="77777777" w:rsidR="00957CDA" w:rsidRPr="0098117F" w:rsidRDefault="00E666B9" w:rsidP="00957CDA">
      <w:pPr>
        <w:pStyle w:val="Prrafodelista"/>
        <w:numPr>
          <w:ilvl w:val="0"/>
          <w:numId w:val="5"/>
        </w:numPr>
        <w:jc w:val="both"/>
      </w:pPr>
      <w:r w:rsidRPr="0098117F">
        <w:t>Matrices de riesgos de</w:t>
      </w:r>
      <w:r w:rsidR="00C6427E" w:rsidRPr="0098117F">
        <w:t xml:space="preserve"> cada proceso</w:t>
      </w:r>
      <w:r w:rsidR="00DF19A2" w:rsidRPr="0098117F">
        <w:t xml:space="preserve"> </w:t>
      </w:r>
      <w:r w:rsidR="00216456" w:rsidRPr="0098117F">
        <w:t>(l</w:t>
      </w:r>
      <w:r w:rsidR="00C6427E" w:rsidRPr="0098117F">
        <w:t>a</w:t>
      </w:r>
      <w:r w:rsidR="00216456" w:rsidRPr="0098117F">
        <w:t xml:space="preserve">s cuales hace parte de este </w:t>
      </w:r>
      <w:r w:rsidR="009424A7" w:rsidRPr="0098117F">
        <w:t>informe)</w:t>
      </w:r>
      <w:r w:rsidR="00C6427E" w:rsidRPr="0098117F">
        <w:t xml:space="preserve"> en las que se han dispuesto columnas para </w:t>
      </w:r>
      <w:r w:rsidR="00F36B14" w:rsidRPr="0098117F">
        <w:t>registrar el nombre la evidencia revisada</w:t>
      </w:r>
      <w:r w:rsidR="008751AF" w:rsidRPr="0098117F">
        <w:t>, el detalle de lo revisado, así como las conclusiones de</w:t>
      </w:r>
      <w:r w:rsidR="00191E48" w:rsidRPr="0098117F">
        <w:t xml:space="preserve"> la información revisada. </w:t>
      </w:r>
    </w:p>
    <w:p w14:paraId="78F5AC6B" w14:textId="77777777" w:rsidR="00957CDA" w:rsidRPr="0098117F" w:rsidRDefault="00957CDA" w:rsidP="00957CDA">
      <w:pPr>
        <w:pStyle w:val="Prrafodelista"/>
        <w:jc w:val="both"/>
      </w:pPr>
    </w:p>
    <w:p w14:paraId="32DC0D01" w14:textId="71342829" w:rsidR="00191E48" w:rsidRPr="0098117F" w:rsidRDefault="004814A2" w:rsidP="00957CDA">
      <w:pPr>
        <w:pStyle w:val="Prrafodelista"/>
        <w:numPr>
          <w:ilvl w:val="0"/>
          <w:numId w:val="5"/>
        </w:numPr>
        <w:jc w:val="both"/>
      </w:pPr>
      <w:r w:rsidRPr="0098117F">
        <w:t xml:space="preserve">El presente documento en el cual se </w:t>
      </w:r>
      <w:r w:rsidR="005C1DF5" w:rsidRPr="0098117F">
        <w:t xml:space="preserve">establecen las conclusiones </w:t>
      </w:r>
      <w:r w:rsidR="000C5E91" w:rsidRPr="0098117F">
        <w:t>generale</w:t>
      </w:r>
      <w:r w:rsidR="005C1DF5" w:rsidRPr="0098117F">
        <w:t xml:space="preserve">s </w:t>
      </w:r>
      <w:r w:rsidR="000C5E91" w:rsidRPr="0098117F">
        <w:t xml:space="preserve">extraídas de un análisis transversal de comportamiento y situaciones </w:t>
      </w:r>
      <w:r w:rsidR="00345082" w:rsidRPr="0098117F">
        <w:t xml:space="preserve">vistas en todos los procesos. </w:t>
      </w:r>
    </w:p>
    <w:p w14:paraId="4A862160" w14:textId="35239564" w:rsidR="0086310F" w:rsidRPr="0098117F" w:rsidRDefault="00345082" w:rsidP="003C6200">
      <w:pPr>
        <w:jc w:val="both"/>
      </w:pPr>
      <w:r w:rsidRPr="0098117F">
        <w:t xml:space="preserve">Es importante aclarar </w:t>
      </w:r>
      <w:r w:rsidR="00E43472" w:rsidRPr="0098117F">
        <w:t xml:space="preserve">que </w:t>
      </w:r>
      <w:r w:rsidR="00566FF0" w:rsidRPr="0098117F">
        <w:t xml:space="preserve">los procesos deben tomar acciones de las </w:t>
      </w:r>
      <w:r w:rsidR="00F57294" w:rsidRPr="0098117F">
        <w:t>conc</w:t>
      </w:r>
      <w:r w:rsidR="0014590E" w:rsidRPr="0098117F">
        <w:t>l</w:t>
      </w:r>
      <w:r w:rsidR="00F57294" w:rsidRPr="0098117F">
        <w:t>usiones</w:t>
      </w:r>
      <w:r w:rsidR="00566FF0" w:rsidRPr="0098117F">
        <w:t xml:space="preserve"> </w:t>
      </w:r>
      <w:r w:rsidR="00591852" w:rsidRPr="0098117F">
        <w:t xml:space="preserve">y decisiones </w:t>
      </w:r>
      <w:r w:rsidR="00566FF0" w:rsidRPr="0098117F">
        <w:t>registradas</w:t>
      </w:r>
      <w:r w:rsidR="0014590E" w:rsidRPr="0098117F">
        <w:t>,</w:t>
      </w:r>
      <w:r w:rsidR="00566FF0" w:rsidRPr="0098117F">
        <w:t xml:space="preserve"> tanto en las matrices de riesgos</w:t>
      </w:r>
      <w:r w:rsidR="0014590E" w:rsidRPr="0098117F">
        <w:t>,</w:t>
      </w:r>
      <w:r w:rsidR="00566FF0" w:rsidRPr="0098117F">
        <w:t xml:space="preserve"> como e</w:t>
      </w:r>
      <w:r w:rsidR="001E46F5" w:rsidRPr="0098117F">
        <w:t>n las definidas en este informe</w:t>
      </w:r>
      <w:r w:rsidR="00591852" w:rsidRPr="0098117F">
        <w:t xml:space="preserve"> y comunicar</w:t>
      </w:r>
      <w:r w:rsidR="001E46F5" w:rsidRPr="0098117F">
        <w:t xml:space="preserve"> a la Oficina Asesora de P</w:t>
      </w:r>
      <w:r w:rsidR="00812DB5" w:rsidRPr="0098117F">
        <w:t>laneación</w:t>
      </w:r>
      <w:r w:rsidR="0014590E" w:rsidRPr="0098117F">
        <w:t xml:space="preserve"> sobre su </w:t>
      </w:r>
      <w:r w:rsidR="00CD2529" w:rsidRPr="0098117F">
        <w:t>implementación.</w:t>
      </w:r>
    </w:p>
    <w:p w14:paraId="09ABEF59" w14:textId="0CF96570" w:rsidR="003C6200" w:rsidRPr="0098117F" w:rsidRDefault="003F1CDE" w:rsidP="003C62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8117F">
        <w:rPr>
          <w:b/>
          <w:bCs/>
        </w:rPr>
        <w:t>Información del monitoreo</w:t>
      </w:r>
      <w:r w:rsidR="00331E40" w:rsidRPr="0098117F">
        <w:rPr>
          <w:b/>
          <w:bCs/>
        </w:rPr>
        <w:t>:</w:t>
      </w:r>
    </w:p>
    <w:p w14:paraId="1C6FEC71" w14:textId="77777777" w:rsidR="00D15275" w:rsidRPr="0098117F" w:rsidRDefault="00D15275" w:rsidP="00D15275">
      <w:pPr>
        <w:pStyle w:val="Prrafodelista"/>
        <w:jc w:val="both"/>
        <w:rPr>
          <w:b/>
          <w:bCs/>
        </w:rPr>
      </w:pPr>
    </w:p>
    <w:p w14:paraId="42ACB8DB" w14:textId="5AE03488" w:rsidR="00EB4435" w:rsidRPr="0098117F" w:rsidRDefault="00D15275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Período evaluado:</w:t>
      </w:r>
      <w:r w:rsidRPr="0098117F">
        <w:t xml:space="preserve"> </w:t>
      </w:r>
      <w:r w:rsidR="00BC0D49" w:rsidRPr="0098117F">
        <w:t>correspondiente a</w:t>
      </w:r>
      <w:r w:rsidR="00EB4435" w:rsidRPr="0098117F">
        <w:t xml:space="preserve"> los meses de </w:t>
      </w:r>
      <w:r w:rsidR="0093615F">
        <w:t xml:space="preserve">octubre, noviembre y </w:t>
      </w:r>
      <w:r w:rsidR="004D5AD3">
        <w:t xml:space="preserve">diciembre </w:t>
      </w:r>
      <w:r w:rsidR="004D5AD3" w:rsidRPr="0098117F">
        <w:t>de</w:t>
      </w:r>
      <w:r w:rsidR="00EB4435" w:rsidRPr="0098117F">
        <w:t xml:space="preserve"> 202</w:t>
      </w:r>
      <w:r w:rsidR="00120947" w:rsidRPr="0098117F">
        <w:t>4</w:t>
      </w:r>
    </w:p>
    <w:p w14:paraId="3AC4BF07" w14:textId="31545A41" w:rsidR="00D15275" w:rsidRPr="0098117F" w:rsidRDefault="00686199" w:rsidP="00E12A1E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Número de procesos evaluados:</w:t>
      </w:r>
      <w:r w:rsidRPr="0098117F">
        <w:t xml:space="preserve"> 1</w:t>
      </w:r>
      <w:r w:rsidR="00E85EC9" w:rsidRPr="0098117F">
        <w:t xml:space="preserve">6 </w:t>
      </w:r>
      <w:r w:rsidR="00D45AF3" w:rsidRPr="0098117F">
        <w:t>procesos</w:t>
      </w:r>
      <w:r w:rsidR="00487601">
        <w:t xml:space="preserve"> para riesgos de gestión/ 13 procesos para riesgos de corrupción</w:t>
      </w:r>
      <w:r w:rsidR="00C22D6B">
        <w:t xml:space="preserve">/ </w:t>
      </w:r>
      <w:proofErr w:type="gramStart"/>
      <w:r w:rsidR="00C22D6B">
        <w:t xml:space="preserve">7 </w:t>
      </w:r>
      <w:r w:rsidR="00A7736D">
        <w:t xml:space="preserve"> procesos</w:t>
      </w:r>
      <w:proofErr w:type="gramEnd"/>
      <w:r w:rsidR="00A7736D">
        <w:t xml:space="preserve"> </w:t>
      </w:r>
      <w:r w:rsidR="00120638">
        <w:t xml:space="preserve">para los </w:t>
      </w:r>
      <w:r w:rsidR="00C22D6B">
        <w:t>riesgo</w:t>
      </w:r>
      <w:r w:rsidR="00437345">
        <w:t>s</w:t>
      </w:r>
      <w:r w:rsidR="00C22D6B">
        <w:t xml:space="preserve"> fiscales</w:t>
      </w:r>
    </w:p>
    <w:p w14:paraId="49072FE5" w14:textId="3AF528A0" w:rsidR="00686199" w:rsidRPr="00C22D6B" w:rsidRDefault="00A24D25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 xml:space="preserve">Fecha de inicio/ fin del monitoreo: </w:t>
      </w:r>
      <w:r w:rsidR="00C22D6B" w:rsidRPr="00C22D6B">
        <w:t>15 a 30 diciembre de 2024</w:t>
      </w:r>
    </w:p>
    <w:p w14:paraId="3D362167" w14:textId="026342D2" w:rsidR="000855C9" w:rsidRPr="0098117F" w:rsidRDefault="009B5858" w:rsidP="00D15275">
      <w:pPr>
        <w:pStyle w:val="Prrafodelista"/>
        <w:numPr>
          <w:ilvl w:val="1"/>
          <w:numId w:val="1"/>
        </w:numPr>
        <w:jc w:val="both"/>
      </w:pPr>
      <w:r w:rsidRPr="0098117F">
        <w:rPr>
          <w:b/>
          <w:bCs/>
        </w:rPr>
        <w:t>Me</w:t>
      </w:r>
      <w:r w:rsidR="003F1CDE" w:rsidRPr="0098117F">
        <w:rPr>
          <w:b/>
          <w:bCs/>
        </w:rPr>
        <w:t xml:space="preserve">todología: </w:t>
      </w:r>
    </w:p>
    <w:p w14:paraId="167FFCEF" w14:textId="17D5A435" w:rsidR="009A35B1" w:rsidRPr="0098117F" w:rsidRDefault="009A35B1" w:rsidP="009A35B1">
      <w:pPr>
        <w:pStyle w:val="Prrafodelista"/>
        <w:numPr>
          <w:ilvl w:val="0"/>
          <w:numId w:val="3"/>
        </w:numPr>
        <w:jc w:val="both"/>
      </w:pPr>
      <w:r w:rsidRPr="0098117F">
        <w:t>Modalidad</w:t>
      </w:r>
      <w:r w:rsidR="00E33507" w:rsidRPr="0098117F">
        <w:t xml:space="preserve"> </w:t>
      </w:r>
      <w:r w:rsidRPr="0098117F">
        <w:t>presencial</w:t>
      </w:r>
      <w:r w:rsidR="00604DF9" w:rsidRPr="0098117F">
        <w:t xml:space="preserve"> y virtual.</w:t>
      </w:r>
    </w:p>
    <w:p w14:paraId="2841FCC5" w14:textId="6F5AAB8B" w:rsidR="00E33507" w:rsidRPr="0098117F" w:rsidRDefault="00E33507" w:rsidP="009A35B1">
      <w:pPr>
        <w:pStyle w:val="Prrafodelista"/>
        <w:numPr>
          <w:ilvl w:val="0"/>
          <w:numId w:val="3"/>
        </w:numPr>
        <w:jc w:val="both"/>
      </w:pPr>
      <w:r w:rsidRPr="0098117F">
        <w:t xml:space="preserve">Revisión del 100% de los riesgos y controles </w:t>
      </w:r>
    </w:p>
    <w:p w14:paraId="45983BD7" w14:textId="2CC0B722" w:rsidR="00E33507" w:rsidRPr="0098117F" w:rsidRDefault="00E33507" w:rsidP="009A35B1">
      <w:pPr>
        <w:pStyle w:val="Prrafodelista"/>
        <w:numPr>
          <w:ilvl w:val="0"/>
          <w:numId w:val="3"/>
        </w:numPr>
        <w:jc w:val="both"/>
      </w:pPr>
      <w:r w:rsidRPr="0098117F">
        <w:t xml:space="preserve">Evidencias solicitadas por muestreo selectivo </w:t>
      </w:r>
    </w:p>
    <w:p w14:paraId="7A18EEFF" w14:textId="28352C84" w:rsidR="0081729A" w:rsidRPr="0098117F" w:rsidRDefault="0081729A" w:rsidP="0081729A">
      <w:pPr>
        <w:jc w:val="both"/>
      </w:pPr>
      <w:r w:rsidRPr="0098117F">
        <w:t>El resultado del monitoreo se encuentra registrado en cada una de las matrices de los riesgos</w:t>
      </w:r>
      <w:r w:rsidR="0042602B">
        <w:t xml:space="preserve"> por cada proceso</w:t>
      </w:r>
      <w:r w:rsidRPr="0098117F">
        <w:t>.</w:t>
      </w:r>
    </w:p>
    <w:p w14:paraId="2995A0ED" w14:textId="13D35E03" w:rsidR="0081729A" w:rsidRPr="0098117F" w:rsidRDefault="0081729A" w:rsidP="0081729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 w:rsidRPr="0098117F">
        <w:rPr>
          <w:b/>
          <w:bCs/>
        </w:rPr>
        <w:t>Ruta de publicación:</w:t>
      </w:r>
    </w:p>
    <w:p w14:paraId="744FB01D" w14:textId="77777777" w:rsidR="0042602B" w:rsidRDefault="0081729A" w:rsidP="0081729A">
      <w:pPr>
        <w:pStyle w:val="Prrafodelista"/>
        <w:ind w:left="1080"/>
        <w:jc w:val="both"/>
      </w:pPr>
      <w:r w:rsidRPr="0098117F">
        <w:t xml:space="preserve">Riesgos de corrupción: </w:t>
      </w:r>
      <w:hyperlink r:id="rId7" w:history="1">
        <w:r w:rsidRPr="0098117F">
          <w:rPr>
            <w:rStyle w:val="Hipervnculo"/>
          </w:rPr>
          <w:t>https://www.idrd.gov.co/transparencia-acceso-informacion-publica/planeacion-presupuesto-informes/plan-de-accion/programa-de-transparencia-y-etica-publica</w:t>
        </w:r>
      </w:hyperlink>
      <w:r w:rsidRPr="0098117F">
        <w:rPr>
          <w:color w:val="0070C0"/>
        </w:rPr>
        <w:t xml:space="preserve">  - 2024</w:t>
      </w:r>
      <w:r w:rsidRPr="0098117F">
        <w:t xml:space="preserve"> - monitoreo riesgos corrupción</w:t>
      </w:r>
    </w:p>
    <w:p w14:paraId="26A13812" w14:textId="281882A2" w:rsidR="0081729A" w:rsidRPr="0098117F" w:rsidRDefault="0042602B" w:rsidP="0081729A">
      <w:pPr>
        <w:pStyle w:val="Prrafodelista"/>
        <w:ind w:left="1080"/>
        <w:jc w:val="both"/>
        <w:rPr>
          <w:color w:val="0070C0"/>
        </w:rPr>
      </w:pPr>
      <w:r>
        <w:t>Riesgos de gestión</w:t>
      </w:r>
      <w:r w:rsidR="00A7736D">
        <w:t xml:space="preserve"> y fiscal </w:t>
      </w:r>
      <w:r>
        <w:t xml:space="preserve">: </w:t>
      </w:r>
      <w:proofErr w:type="spellStart"/>
      <w:r>
        <w:t>isolucion</w:t>
      </w:r>
      <w:proofErr w:type="spellEnd"/>
      <w:r>
        <w:t xml:space="preserve">- </w:t>
      </w:r>
      <w:proofErr w:type="spellStart"/>
      <w:r>
        <w:t>Tips</w:t>
      </w:r>
      <w:proofErr w:type="spellEnd"/>
      <w:r>
        <w:t xml:space="preserve"> de interés- riesgos de gestión</w:t>
      </w:r>
      <w:r w:rsidR="00A7736D">
        <w:t xml:space="preserve"> </w:t>
      </w:r>
      <w:r>
        <w:t>- año 2024.</w:t>
      </w:r>
      <w:r w:rsidR="0081729A" w:rsidRPr="0098117F">
        <w:t xml:space="preserve"> </w:t>
      </w:r>
    </w:p>
    <w:p w14:paraId="39F6101E" w14:textId="77777777" w:rsidR="009A1E7E" w:rsidRPr="0098117F" w:rsidRDefault="009A1E7E" w:rsidP="009A1E7E">
      <w:pPr>
        <w:pStyle w:val="Prrafodelista"/>
        <w:jc w:val="both"/>
      </w:pPr>
    </w:p>
    <w:p w14:paraId="4ECFAF50" w14:textId="74311F97" w:rsidR="003D6E35" w:rsidRDefault="003D6E35" w:rsidP="00E335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Riesgos materializados </w:t>
      </w:r>
    </w:p>
    <w:p w14:paraId="1137A732" w14:textId="2AB641DC" w:rsidR="009E7C02" w:rsidRPr="00D74939" w:rsidRDefault="009E7C02" w:rsidP="009E7C02">
      <w:pPr>
        <w:pStyle w:val="Prrafodelista"/>
        <w:jc w:val="both"/>
      </w:pPr>
      <w:r w:rsidRPr="00D74939">
        <w:rPr>
          <w:b/>
          <w:bCs/>
        </w:rPr>
        <w:t>PROCESO:</w:t>
      </w:r>
      <w:r w:rsidRPr="00D74939">
        <w:t xml:space="preserve"> ADQUISICIÓN DE BIENES Y SERVICIOS</w:t>
      </w:r>
    </w:p>
    <w:p w14:paraId="1E10AE59" w14:textId="4E0302D5" w:rsidR="00846B1D" w:rsidRPr="00D74939" w:rsidRDefault="003212EA" w:rsidP="009E7C02">
      <w:pPr>
        <w:pStyle w:val="Prrafodelista"/>
        <w:jc w:val="both"/>
        <w:rPr>
          <w:b/>
          <w:bCs/>
        </w:rPr>
      </w:pPr>
      <w:r>
        <w:rPr>
          <w:b/>
          <w:bCs/>
        </w:rPr>
        <w:t xml:space="preserve">DESCRIPCIÓN DEL </w:t>
      </w:r>
      <w:r w:rsidR="009E7C02" w:rsidRPr="00D74939">
        <w:rPr>
          <w:b/>
          <w:bCs/>
        </w:rPr>
        <w:t xml:space="preserve">RIESGO: </w:t>
      </w:r>
    </w:p>
    <w:p w14:paraId="2044183C" w14:textId="0FCC659C" w:rsidR="009E7C02" w:rsidRPr="00D74939" w:rsidRDefault="009E7C02" w:rsidP="00846B1D">
      <w:pPr>
        <w:pStyle w:val="Prrafodelista"/>
        <w:numPr>
          <w:ilvl w:val="0"/>
          <w:numId w:val="3"/>
        </w:numPr>
        <w:jc w:val="both"/>
      </w:pPr>
      <w:r w:rsidRPr="00D74939">
        <w:t>POSIBILIDAD de afectación reputacional por incumplimiento de requisitos de ley e inicio de procesos disciplinarios a los supervisores de contratos.</w:t>
      </w:r>
    </w:p>
    <w:p w14:paraId="7E278265" w14:textId="17031AC1" w:rsidR="00846B1D" w:rsidRPr="00D74939" w:rsidRDefault="00846B1D" w:rsidP="00846B1D">
      <w:pPr>
        <w:pStyle w:val="Prrafodelista"/>
        <w:numPr>
          <w:ilvl w:val="0"/>
          <w:numId w:val="3"/>
        </w:numPr>
        <w:jc w:val="both"/>
      </w:pPr>
      <w:r w:rsidRPr="00D74939">
        <w:t>POR desactualización de los expedientes por parte de la supervisión (todos)</w:t>
      </w:r>
    </w:p>
    <w:p w14:paraId="6FE1C32C" w14:textId="6AD5AEDF" w:rsidR="00846B1D" w:rsidRPr="00D74939" w:rsidRDefault="00846B1D" w:rsidP="00FF7787">
      <w:pPr>
        <w:pStyle w:val="Prrafodelista"/>
        <w:numPr>
          <w:ilvl w:val="0"/>
          <w:numId w:val="3"/>
        </w:numPr>
        <w:jc w:val="both"/>
      </w:pPr>
      <w:r w:rsidRPr="00D74939">
        <w:t>DEBIDO A la no publicación de los informes de actividades y demás documentos contractuales de manera completa y oportuna en SECOP</w:t>
      </w:r>
    </w:p>
    <w:p w14:paraId="12813B08" w14:textId="6844221D" w:rsidR="00846B1D" w:rsidRPr="00D74939" w:rsidRDefault="00846B1D" w:rsidP="00846B1D">
      <w:pPr>
        <w:ind w:left="720"/>
        <w:jc w:val="both"/>
      </w:pPr>
      <w:r w:rsidRPr="00D74939">
        <w:lastRenderedPageBreak/>
        <w:t xml:space="preserve">Evidencias: </w:t>
      </w:r>
      <w:r w:rsidR="00D4134C" w:rsidRPr="00D74939">
        <w:t xml:space="preserve">"De la verificación efectuada a 110 procesos contractuales, se pudo evidenciar que en 60 casos (54.6%) se encontró en el SECOP II, registros que dan cuenta de la gestión adelantada por parte del supervisor/interventor, a efectos de que soporte la ejecución desarrollada en el contrato. En 50 casos (45.4%) no se encontró en el SECOP II, </w:t>
      </w:r>
      <w:r w:rsidR="000A0A12" w:rsidRPr="00D74939">
        <w:t>la publicación</w:t>
      </w:r>
      <w:r w:rsidR="00D4134C" w:rsidRPr="00D74939">
        <w:t xml:space="preserve"> de los registros respecto que den cuenta de la gestión efectuada por parte del supervisor del contrato, y la conformación adecuada del expediente contractual"</w:t>
      </w:r>
    </w:p>
    <w:p w14:paraId="7CC053BD" w14:textId="1FDEC475" w:rsidR="00D74939" w:rsidRPr="00D74939" w:rsidRDefault="00D4134C" w:rsidP="00D74939">
      <w:pPr>
        <w:ind w:left="708"/>
        <w:jc w:val="both"/>
      </w:pPr>
      <w:proofErr w:type="gramStart"/>
      <w:r w:rsidRPr="00D74939">
        <w:rPr>
          <w:b/>
          <w:bCs/>
        </w:rPr>
        <w:t>ACCIONES A EMPRENDER</w:t>
      </w:r>
      <w:proofErr w:type="gramEnd"/>
      <w:r w:rsidR="00D74939" w:rsidRPr="00D74939">
        <w:rPr>
          <w:b/>
          <w:bCs/>
        </w:rPr>
        <w:t>:</w:t>
      </w:r>
      <w:r w:rsidR="00D74939">
        <w:rPr>
          <w:b/>
          <w:bCs/>
        </w:rPr>
        <w:t xml:space="preserve"> </w:t>
      </w:r>
      <w:r w:rsidR="00D74939" w:rsidRPr="00D74939">
        <w:t xml:space="preserve">De acuerdo con los resultados del informe de control interno considerando que se argumentó que este riesgo se encuentra asociado a todos los procesos de la entidad que supervisen contratos se concluyó incluir un riesgo asociado con la publicación de registros en el SECOP </w:t>
      </w:r>
      <w:r w:rsidR="003212EA">
        <w:t xml:space="preserve">en </w:t>
      </w:r>
      <w:r w:rsidR="00D74939" w:rsidRPr="00D74939">
        <w:t>las matrices de todos los procesos, para garantizar un seguimiento de primera mano por quienes tienen a cargo la supervisión de las actividades contractuales</w:t>
      </w:r>
      <w:r w:rsidR="000A0A12">
        <w:t>. Esta actividad se realizará en el primer bimestre de 2025.</w:t>
      </w:r>
    </w:p>
    <w:p w14:paraId="0D686BCF" w14:textId="140306D9" w:rsidR="00E33507" w:rsidRPr="009E7C02" w:rsidRDefault="009A1E7E" w:rsidP="009E7C0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E7C02">
        <w:rPr>
          <w:b/>
          <w:bCs/>
        </w:rPr>
        <w:t>Conclusiones</w:t>
      </w:r>
    </w:p>
    <w:p w14:paraId="622AB62E" w14:textId="77777777" w:rsidR="00EF2203" w:rsidRPr="0098117F" w:rsidRDefault="00EF2203" w:rsidP="00EF2203">
      <w:pPr>
        <w:pStyle w:val="Prrafodelista"/>
        <w:jc w:val="both"/>
      </w:pPr>
    </w:p>
    <w:p w14:paraId="516566CC" w14:textId="77777777"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 xml:space="preserve">Los controles cuentan con evidencias de acuerdo con las frecuencias establecidas.  </w:t>
      </w:r>
    </w:p>
    <w:p w14:paraId="3A25730E" w14:textId="77777777"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 xml:space="preserve">Los indicadores cumplen con las metas establecidas. </w:t>
      </w:r>
    </w:p>
    <w:p w14:paraId="49BBBCD9" w14:textId="77777777"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>Los planes de acción cuentan con el seguimiento y evidencias correspondientes.</w:t>
      </w:r>
    </w:p>
    <w:p w14:paraId="4248A5BA" w14:textId="77777777"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 xml:space="preserve">Se identificó 1 riesgo materializado correspondiente al proceso de Adquisición de Bienes y Servicios. </w:t>
      </w:r>
    </w:p>
    <w:p w14:paraId="780AA2B0" w14:textId="77777777" w:rsidR="00060F4A" w:rsidRPr="00060F4A" w:rsidRDefault="00060F4A" w:rsidP="00060F4A">
      <w:pPr>
        <w:pStyle w:val="Prrafodelista"/>
        <w:numPr>
          <w:ilvl w:val="0"/>
          <w:numId w:val="12"/>
        </w:numPr>
        <w:rPr>
          <w:lang w:val="es-419"/>
        </w:rPr>
      </w:pPr>
      <w:r w:rsidRPr="00060F4A">
        <w:t>El riesgo de inoportunidad de respuesta a las PQRSD que estaba materializado, ahora se encuentra bajo control en razón a las acciones tomadas por la STRD y la STP.</w:t>
      </w:r>
    </w:p>
    <w:p w14:paraId="1E8C6D98" w14:textId="77777777" w:rsidR="00040646" w:rsidRPr="00060F4A" w:rsidRDefault="00040646" w:rsidP="003F48FC">
      <w:pPr>
        <w:pStyle w:val="Prrafodelista"/>
        <w:jc w:val="both"/>
        <w:rPr>
          <w:b/>
          <w:bCs/>
          <w:lang w:val="es-419"/>
        </w:rPr>
      </w:pPr>
    </w:p>
    <w:p w14:paraId="3DBD9791" w14:textId="59E156F5" w:rsidR="00F74626" w:rsidRPr="0098117F" w:rsidRDefault="00E7175C" w:rsidP="00F7462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Recomendaciones </w:t>
      </w:r>
    </w:p>
    <w:p w14:paraId="3F059F56" w14:textId="77777777" w:rsidR="003F48FC" w:rsidRPr="0098117F" w:rsidRDefault="003F48FC" w:rsidP="003F48FC">
      <w:pPr>
        <w:pStyle w:val="Prrafodelista"/>
        <w:jc w:val="both"/>
        <w:rPr>
          <w:b/>
          <w:bCs/>
        </w:rPr>
      </w:pPr>
    </w:p>
    <w:p w14:paraId="24B2E7C1" w14:textId="77777777" w:rsidR="00E7175C" w:rsidRPr="00E7175C" w:rsidRDefault="00E7175C" w:rsidP="007D27B9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E7175C">
        <w:t xml:space="preserve">Asegurar la disponibilidad e integridad de las evidencias cargadas al DRIVE dispuesto por la OPLA. </w:t>
      </w:r>
    </w:p>
    <w:p w14:paraId="7E7196B9" w14:textId="77777777" w:rsidR="00E7175C" w:rsidRPr="00E7175C" w:rsidRDefault="00E7175C" w:rsidP="007D27B9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 w:rsidRPr="00E7175C">
        <w:t>Seguir las instrucciones que se encuentran en las “Matrices Resumidas” para los monitoreos de primera línea de defensa.</w:t>
      </w:r>
    </w:p>
    <w:p w14:paraId="512F6FC0" w14:textId="4479DD90" w:rsidR="00D1422D" w:rsidRPr="00D1422D" w:rsidRDefault="00D1422D" w:rsidP="007D27B9">
      <w:pPr>
        <w:pStyle w:val="Prrafodelista"/>
        <w:numPr>
          <w:ilvl w:val="0"/>
          <w:numId w:val="10"/>
        </w:numPr>
        <w:jc w:val="both"/>
        <w:rPr>
          <w:lang w:val="es-419"/>
        </w:rPr>
      </w:pPr>
      <w:r>
        <w:rPr>
          <w:lang w:val="es-419"/>
        </w:rPr>
        <w:t xml:space="preserve">Atender las observaciones </w:t>
      </w:r>
      <w:r w:rsidR="00BD02D2">
        <w:rPr>
          <w:lang w:val="es-419"/>
        </w:rPr>
        <w:t xml:space="preserve">realizadas por la segunda línea de defensa en los monitoreos e informar a la segunda línea de defensa los avances en los plazos establecidos. </w:t>
      </w:r>
    </w:p>
    <w:p w14:paraId="571DAFE6" w14:textId="642641C1" w:rsidR="00112F27" w:rsidRDefault="00112F27" w:rsidP="007D27B9">
      <w:pPr>
        <w:pStyle w:val="Prrafodelista"/>
        <w:numPr>
          <w:ilvl w:val="0"/>
          <w:numId w:val="10"/>
        </w:numPr>
        <w:jc w:val="both"/>
      </w:pPr>
      <w:r w:rsidRPr="00E3098C">
        <w:t xml:space="preserve">Es importante definir un porcentaje de muestreo en los casos </w:t>
      </w:r>
      <w:r w:rsidR="000E1607" w:rsidRPr="00E3098C">
        <w:t>en que existe una alta población de evidencias que permita</w:t>
      </w:r>
      <w:r w:rsidR="007F1BFF" w:rsidRPr="00E3098C">
        <w:t xml:space="preserve"> dar confianza </w:t>
      </w:r>
      <w:r w:rsidR="007E0561" w:rsidRPr="00E3098C">
        <w:t xml:space="preserve">a los monitoreos y la medición de </w:t>
      </w:r>
      <w:r w:rsidR="008224EA" w:rsidRPr="00E3098C">
        <w:t xml:space="preserve">indicadores. </w:t>
      </w:r>
      <w:r w:rsidR="004037F7">
        <w:t>Esta información se deberá incluir en el espacio e “O</w:t>
      </w:r>
      <w:r w:rsidR="00D1422D">
        <w:t xml:space="preserve">bservaciones de la Ficha Técnica” del indicador en </w:t>
      </w:r>
      <w:proofErr w:type="spellStart"/>
      <w:r w:rsidR="00D1422D">
        <w:t>Isolucion</w:t>
      </w:r>
      <w:proofErr w:type="spellEnd"/>
      <w:r w:rsidR="00D1422D">
        <w:t>.</w:t>
      </w:r>
    </w:p>
    <w:p w14:paraId="113F3BA7" w14:textId="77777777" w:rsidR="00D1422D" w:rsidRPr="00E3098C" w:rsidRDefault="00D1422D" w:rsidP="00D1422D">
      <w:pPr>
        <w:pStyle w:val="Prrafodelista"/>
        <w:jc w:val="both"/>
      </w:pPr>
    </w:p>
    <w:p w14:paraId="31CF112C" w14:textId="14F0C764" w:rsidR="0081729A" w:rsidRPr="0098117F" w:rsidRDefault="0081729A" w:rsidP="00F8076E">
      <w:pPr>
        <w:jc w:val="both"/>
      </w:pPr>
      <w:r w:rsidRPr="0098117F">
        <w:t>OFICINA ASESORA DE PLANEACION</w:t>
      </w:r>
    </w:p>
    <w:p w14:paraId="22385C3E" w14:textId="73B58A23" w:rsidR="00381DFA" w:rsidRPr="00381DFA" w:rsidRDefault="007D27B9" w:rsidP="00381DFA">
      <w:pPr>
        <w:jc w:val="both"/>
        <w:rPr>
          <w:b/>
          <w:bCs/>
        </w:rPr>
      </w:pPr>
      <w:r>
        <w:t xml:space="preserve">DICIEMBRE </w:t>
      </w:r>
      <w:r w:rsidR="0081729A" w:rsidRPr="0098117F">
        <w:t>2024</w:t>
      </w:r>
    </w:p>
    <w:sectPr w:rsidR="00381DFA" w:rsidRPr="00381D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A477D" w14:textId="77777777" w:rsidR="004C2493" w:rsidRDefault="004C2493" w:rsidP="0081729A">
      <w:pPr>
        <w:spacing w:after="0" w:line="240" w:lineRule="auto"/>
      </w:pPr>
      <w:r>
        <w:separator/>
      </w:r>
    </w:p>
  </w:endnote>
  <w:endnote w:type="continuationSeparator" w:id="0">
    <w:p w14:paraId="056DC022" w14:textId="77777777" w:rsidR="004C2493" w:rsidRDefault="004C2493" w:rsidP="0081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AAC48" w14:textId="77777777" w:rsidR="004C2493" w:rsidRDefault="004C2493" w:rsidP="0081729A">
      <w:pPr>
        <w:spacing w:after="0" w:line="240" w:lineRule="auto"/>
      </w:pPr>
      <w:r>
        <w:separator/>
      </w:r>
    </w:p>
  </w:footnote>
  <w:footnote w:type="continuationSeparator" w:id="0">
    <w:p w14:paraId="68982A33" w14:textId="77777777" w:rsidR="004C2493" w:rsidRDefault="004C2493" w:rsidP="0081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3B2B" w14:textId="422B86C5" w:rsidR="0081729A" w:rsidRDefault="0081729A">
    <w:pPr>
      <w:pStyle w:val="Encabezado"/>
    </w:pPr>
    <w:r>
      <w:t xml:space="preserve">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720543FA" wp14:editId="63C40649">
          <wp:extent cx="1054735" cy="6400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3A37"/>
    <w:multiLevelType w:val="multilevel"/>
    <w:tmpl w:val="58E24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BF6E76"/>
    <w:multiLevelType w:val="hybridMultilevel"/>
    <w:tmpl w:val="C47EC5E0"/>
    <w:lvl w:ilvl="0" w:tplc="5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782"/>
    <w:multiLevelType w:val="hybridMultilevel"/>
    <w:tmpl w:val="79B47E0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E74"/>
    <w:multiLevelType w:val="hybridMultilevel"/>
    <w:tmpl w:val="E81AC8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0115"/>
    <w:multiLevelType w:val="hybridMultilevel"/>
    <w:tmpl w:val="E32C92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93A43"/>
    <w:multiLevelType w:val="hybridMultilevel"/>
    <w:tmpl w:val="53D237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2D20"/>
    <w:multiLevelType w:val="hybridMultilevel"/>
    <w:tmpl w:val="4BC88C7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DD907714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24007"/>
    <w:multiLevelType w:val="hybridMultilevel"/>
    <w:tmpl w:val="C6D698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A27D1"/>
    <w:multiLevelType w:val="multilevel"/>
    <w:tmpl w:val="529A4390"/>
    <w:lvl w:ilvl="0">
      <w:start w:val="9"/>
      <w:numFmt w:val="decimal"/>
      <w:lvlText w:val="%1"/>
      <w:lvlJc w:val="left"/>
      <w:pPr>
        <w:ind w:left="479" w:hanging="43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479" w:hanging="432"/>
        <w:jc w:val="right"/>
      </w:pPr>
      <w:rPr>
        <w:rFonts w:hint="default"/>
        <w:spacing w:val="0"/>
        <w:w w:val="97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98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-"/>
      <w:lvlJc w:val="left"/>
      <w:pPr>
        <w:ind w:left="13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7A61A00"/>
    <w:multiLevelType w:val="hybridMultilevel"/>
    <w:tmpl w:val="367EECBA"/>
    <w:lvl w:ilvl="0" w:tplc="3A2640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641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8C6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8EB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EE8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231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6AE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218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605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2AC3"/>
    <w:multiLevelType w:val="hybridMultilevel"/>
    <w:tmpl w:val="72A23934"/>
    <w:lvl w:ilvl="0" w:tplc="C2A4AB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50DAF"/>
    <w:multiLevelType w:val="multilevel"/>
    <w:tmpl w:val="39863A42"/>
    <w:lvl w:ilvl="0">
      <w:start w:val="1"/>
      <w:numFmt w:val="decimal"/>
      <w:lvlText w:val="%1."/>
      <w:lvlJc w:val="left"/>
      <w:pPr>
        <w:ind w:left="618" w:hanging="361"/>
        <w:jc w:val="right"/>
      </w:pPr>
      <w:rPr>
        <w:rFonts w:hint="default"/>
        <w:spacing w:val="0"/>
        <w:w w:val="9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2" w:hanging="7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1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56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F291791"/>
    <w:multiLevelType w:val="hybridMultilevel"/>
    <w:tmpl w:val="8DB83A4A"/>
    <w:lvl w:ilvl="0" w:tplc="7A48B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A2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E0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A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438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426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8F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0B3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F2A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1"/>
    <w:rsid w:val="00000458"/>
    <w:rsid w:val="00005E8A"/>
    <w:rsid w:val="00022416"/>
    <w:rsid w:val="00023ACB"/>
    <w:rsid w:val="00040646"/>
    <w:rsid w:val="00060F4A"/>
    <w:rsid w:val="000742BD"/>
    <w:rsid w:val="0008171F"/>
    <w:rsid w:val="000855C9"/>
    <w:rsid w:val="000A0A12"/>
    <w:rsid w:val="000C2C9B"/>
    <w:rsid w:val="000C5E91"/>
    <w:rsid w:val="000C7B8A"/>
    <w:rsid w:val="000E1607"/>
    <w:rsid w:val="000E6C96"/>
    <w:rsid w:val="000F2F80"/>
    <w:rsid w:val="00107CAD"/>
    <w:rsid w:val="00112F27"/>
    <w:rsid w:val="00120638"/>
    <w:rsid w:val="00120947"/>
    <w:rsid w:val="0012550F"/>
    <w:rsid w:val="00130F54"/>
    <w:rsid w:val="00141E8B"/>
    <w:rsid w:val="001441FD"/>
    <w:rsid w:val="0014590E"/>
    <w:rsid w:val="0014784C"/>
    <w:rsid w:val="001609DE"/>
    <w:rsid w:val="00160F7D"/>
    <w:rsid w:val="0017376A"/>
    <w:rsid w:val="00191E48"/>
    <w:rsid w:val="001944C9"/>
    <w:rsid w:val="00194CEC"/>
    <w:rsid w:val="001B1306"/>
    <w:rsid w:val="001B634F"/>
    <w:rsid w:val="001D1E24"/>
    <w:rsid w:val="001D7B51"/>
    <w:rsid w:val="001E46F5"/>
    <w:rsid w:val="001F27A3"/>
    <w:rsid w:val="001F6FC7"/>
    <w:rsid w:val="001F7F65"/>
    <w:rsid w:val="00203F00"/>
    <w:rsid w:val="00216456"/>
    <w:rsid w:val="002325E3"/>
    <w:rsid w:val="00232A60"/>
    <w:rsid w:val="0023555A"/>
    <w:rsid w:val="00247528"/>
    <w:rsid w:val="0025264D"/>
    <w:rsid w:val="002708D7"/>
    <w:rsid w:val="00285C06"/>
    <w:rsid w:val="002914A2"/>
    <w:rsid w:val="0029463E"/>
    <w:rsid w:val="00294FEA"/>
    <w:rsid w:val="002B3704"/>
    <w:rsid w:val="002C4452"/>
    <w:rsid w:val="002D71EF"/>
    <w:rsid w:val="002F59DF"/>
    <w:rsid w:val="002F7B6E"/>
    <w:rsid w:val="003212EA"/>
    <w:rsid w:val="003235F9"/>
    <w:rsid w:val="003255D5"/>
    <w:rsid w:val="00331E40"/>
    <w:rsid w:val="00345082"/>
    <w:rsid w:val="003470FA"/>
    <w:rsid w:val="00381DFA"/>
    <w:rsid w:val="0038537C"/>
    <w:rsid w:val="00395149"/>
    <w:rsid w:val="003A2635"/>
    <w:rsid w:val="003B586F"/>
    <w:rsid w:val="003C3176"/>
    <w:rsid w:val="003C4035"/>
    <w:rsid w:val="003C6200"/>
    <w:rsid w:val="003D6E35"/>
    <w:rsid w:val="003E7B05"/>
    <w:rsid w:val="003F1CDE"/>
    <w:rsid w:val="003F48FC"/>
    <w:rsid w:val="003F5077"/>
    <w:rsid w:val="003F7831"/>
    <w:rsid w:val="004037F7"/>
    <w:rsid w:val="00405C5C"/>
    <w:rsid w:val="004067A8"/>
    <w:rsid w:val="00411068"/>
    <w:rsid w:val="0042602B"/>
    <w:rsid w:val="00437345"/>
    <w:rsid w:val="00440B7A"/>
    <w:rsid w:val="004477AF"/>
    <w:rsid w:val="00456E58"/>
    <w:rsid w:val="00457DBA"/>
    <w:rsid w:val="0047103F"/>
    <w:rsid w:val="004723F2"/>
    <w:rsid w:val="00473231"/>
    <w:rsid w:val="004814A2"/>
    <w:rsid w:val="00487601"/>
    <w:rsid w:val="0049336A"/>
    <w:rsid w:val="00495C3D"/>
    <w:rsid w:val="004A0D4F"/>
    <w:rsid w:val="004A72C3"/>
    <w:rsid w:val="004C2493"/>
    <w:rsid w:val="004D05CF"/>
    <w:rsid w:val="004D1350"/>
    <w:rsid w:val="004D31DE"/>
    <w:rsid w:val="004D5AD3"/>
    <w:rsid w:val="004F0AF0"/>
    <w:rsid w:val="0050212C"/>
    <w:rsid w:val="005054D5"/>
    <w:rsid w:val="00507D28"/>
    <w:rsid w:val="00523634"/>
    <w:rsid w:val="0052606F"/>
    <w:rsid w:val="005466CD"/>
    <w:rsid w:val="005546F2"/>
    <w:rsid w:val="005548F4"/>
    <w:rsid w:val="00564063"/>
    <w:rsid w:val="005641D6"/>
    <w:rsid w:val="00566FF0"/>
    <w:rsid w:val="00570C0B"/>
    <w:rsid w:val="0057218C"/>
    <w:rsid w:val="005842B4"/>
    <w:rsid w:val="00591852"/>
    <w:rsid w:val="00594A61"/>
    <w:rsid w:val="005A4EF4"/>
    <w:rsid w:val="005B19A0"/>
    <w:rsid w:val="005B4105"/>
    <w:rsid w:val="005C1DF5"/>
    <w:rsid w:val="005D7202"/>
    <w:rsid w:val="005F35C6"/>
    <w:rsid w:val="00604DF9"/>
    <w:rsid w:val="00606C4F"/>
    <w:rsid w:val="006123CE"/>
    <w:rsid w:val="00647027"/>
    <w:rsid w:val="00660960"/>
    <w:rsid w:val="006637AC"/>
    <w:rsid w:val="00674D44"/>
    <w:rsid w:val="00686199"/>
    <w:rsid w:val="00690ADF"/>
    <w:rsid w:val="00693203"/>
    <w:rsid w:val="006A536A"/>
    <w:rsid w:val="006A6349"/>
    <w:rsid w:val="006A64B8"/>
    <w:rsid w:val="006B4EC6"/>
    <w:rsid w:val="006C5951"/>
    <w:rsid w:val="006D0C9A"/>
    <w:rsid w:val="006D660F"/>
    <w:rsid w:val="006E6309"/>
    <w:rsid w:val="0070343B"/>
    <w:rsid w:val="00715426"/>
    <w:rsid w:val="007175FB"/>
    <w:rsid w:val="00722233"/>
    <w:rsid w:val="007452AC"/>
    <w:rsid w:val="00746669"/>
    <w:rsid w:val="00761144"/>
    <w:rsid w:val="00762B4A"/>
    <w:rsid w:val="00783750"/>
    <w:rsid w:val="00785531"/>
    <w:rsid w:val="007A7995"/>
    <w:rsid w:val="007A7F0E"/>
    <w:rsid w:val="007B02E0"/>
    <w:rsid w:val="007C1EA2"/>
    <w:rsid w:val="007C31AF"/>
    <w:rsid w:val="007D27B9"/>
    <w:rsid w:val="007D30E7"/>
    <w:rsid w:val="007E0561"/>
    <w:rsid w:val="007E4C08"/>
    <w:rsid w:val="007F1BFF"/>
    <w:rsid w:val="00811215"/>
    <w:rsid w:val="00812DB5"/>
    <w:rsid w:val="0081729A"/>
    <w:rsid w:val="008224EA"/>
    <w:rsid w:val="00832729"/>
    <w:rsid w:val="00846B1D"/>
    <w:rsid w:val="00853906"/>
    <w:rsid w:val="00854164"/>
    <w:rsid w:val="0085681D"/>
    <w:rsid w:val="0086310F"/>
    <w:rsid w:val="008674AA"/>
    <w:rsid w:val="008751AF"/>
    <w:rsid w:val="00881A1D"/>
    <w:rsid w:val="0089571B"/>
    <w:rsid w:val="008B0875"/>
    <w:rsid w:val="008C77FA"/>
    <w:rsid w:val="008D53DD"/>
    <w:rsid w:val="00903A5F"/>
    <w:rsid w:val="00906F11"/>
    <w:rsid w:val="0092077F"/>
    <w:rsid w:val="00930094"/>
    <w:rsid w:val="00933F04"/>
    <w:rsid w:val="0093615F"/>
    <w:rsid w:val="0094159F"/>
    <w:rsid w:val="009424A7"/>
    <w:rsid w:val="00950F81"/>
    <w:rsid w:val="00953D45"/>
    <w:rsid w:val="00954326"/>
    <w:rsid w:val="00957CDA"/>
    <w:rsid w:val="00974ECC"/>
    <w:rsid w:val="009765A3"/>
    <w:rsid w:val="0098117F"/>
    <w:rsid w:val="009834E2"/>
    <w:rsid w:val="00985EA8"/>
    <w:rsid w:val="009A0F83"/>
    <w:rsid w:val="009A1E7E"/>
    <w:rsid w:val="009A2DBD"/>
    <w:rsid w:val="009A35B1"/>
    <w:rsid w:val="009A4D90"/>
    <w:rsid w:val="009A7744"/>
    <w:rsid w:val="009B4DB8"/>
    <w:rsid w:val="009B5858"/>
    <w:rsid w:val="009B5A1D"/>
    <w:rsid w:val="009B6BEF"/>
    <w:rsid w:val="009C2AD4"/>
    <w:rsid w:val="009E4912"/>
    <w:rsid w:val="009E4EE5"/>
    <w:rsid w:val="009E7C02"/>
    <w:rsid w:val="009F2A55"/>
    <w:rsid w:val="00A23849"/>
    <w:rsid w:val="00A23FEC"/>
    <w:rsid w:val="00A24D25"/>
    <w:rsid w:val="00A304E8"/>
    <w:rsid w:val="00A31372"/>
    <w:rsid w:val="00A33AD4"/>
    <w:rsid w:val="00A33C6E"/>
    <w:rsid w:val="00A36F52"/>
    <w:rsid w:val="00A42348"/>
    <w:rsid w:val="00A64546"/>
    <w:rsid w:val="00A64787"/>
    <w:rsid w:val="00A66291"/>
    <w:rsid w:val="00A7187C"/>
    <w:rsid w:val="00A72218"/>
    <w:rsid w:val="00A7736D"/>
    <w:rsid w:val="00A844DB"/>
    <w:rsid w:val="00AC078C"/>
    <w:rsid w:val="00AC63BD"/>
    <w:rsid w:val="00AD1605"/>
    <w:rsid w:val="00AE0351"/>
    <w:rsid w:val="00AE0CDF"/>
    <w:rsid w:val="00AF0202"/>
    <w:rsid w:val="00AF7496"/>
    <w:rsid w:val="00B03019"/>
    <w:rsid w:val="00B07E8D"/>
    <w:rsid w:val="00B11BA2"/>
    <w:rsid w:val="00B163C7"/>
    <w:rsid w:val="00B30C1A"/>
    <w:rsid w:val="00B36C94"/>
    <w:rsid w:val="00B5529B"/>
    <w:rsid w:val="00B63BCF"/>
    <w:rsid w:val="00B80F9B"/>
    <w:rsid w:val="00B86788"/>
    <w:rsid w:val="00B903C6"/>
    <w:rsid w:val="00B91C46"/>
    <w:rsid w:val="00B9220E"/>
    <w:rsid w:val="00B9331A"/>
    <w:rsid w:val="00B9480F"/>
    <w:rsid w:val="00BA6BEC"/>
    <w:rsid w:val="00BC0D49"/>
    <w:rsid w:val="00BD02D2"/>
    <w:rsid w:val="00BD4A0E"/>
    <w:rsid w:val="00BD5453"/>
    <w:rsid w:val="00BD6649"/>
    <w:rsid w:val="00BF33B4"/>
    <w:rsid w:val="00C10A52"/>
    <w:rsid w:val="00C22D6B"/>
    <w:rsid w:val="00C337A8"/>
    <w:rsid w:val="00C56870"/>
    <w:rsid w:val="00C6427E"/>
    <w:rsid w:val="00C70093"/>
    <w:rsid w:val="00C76B22"/>
    <w:rsid w:val="00C77BD6"/>
    <w:rsid w:val="00CA0822"/>
    <w:rsid w:val="00CA45E3"/>
    <w:rsid w:val="00CB1B5C"/>
    <w:rsid w:val="00CB54FC"/>
    <w:rsid w:val="00CB67B1"/>
    <w:rsid w:val="00CB7E40"/>
    <w:rsid w:val="00CC0992"/>
    <w:rsid w:val="00CC3985"/>
    <w:rsid w:val="00CD2529"/>
    <w:rsid w:val="00CE4E31"/>
    <w:rsid w:val="00CF61F1"/>
    <w:rsid w:val="00CF7294"/>
    <w:rsid w:val="00D00C21"/>
    <w:rsid w:val="00D054AC"/>
    <w:rsid w:val="00D1422D"/>
    <w:rsid w:val="00D15275"/>
    <w:rsid w:val="00D3318B"/>
    <w:rsid w:val="00D33B1F"/>
    <w:rsid w:val="00D4134C"/>
    <w:rsid w:val="00D45AF3"/>
    <w:rsid w:val="00D5002B"/>
    <w:rsid w:val="00D64DA2"/>
    <w:rsid w:val="00D672ED"/>
    <w:rsid w:val="00D74939"/>
    <w:rsid w:val="00D7634E"/>
    <w:rsid w:val="00D774D9"/>
    <w:rsid w:val="00DA1EF1"/>
    <w:rsid w:val="00DC1CA9"/>
    <w:rsid w:val="00DC41FC"/>
    <w:rsid w:val="00DD4ED0"/>
    <w:rsid w:val="00DD54AE"/>
    <w:rsid w:val="00DE4798"/>
    <w:rsid w:val="00DE4C5B"/>
    <w:rsid w:val="00DF19A2"/>
    <w:rsid w:val="00DF4771"/>
    <w:rsid w:val="00E12A1E"/>
    <w:rsid w:val="00E21DB4"/>
    <w:rsid w:val="00E21E25"/>
    <w:rsid w:val="00E3098C"/>
    <w:rsid w:val="00E33507"/>
    <w:rsid w:val="00E43472"/>
    <w:rsid w:val="00E43A6B"/>
    <w:rsid w:val="00E46EDD"/>
    <w:rsid w:val="00E52CAC"/>
    <w:rsid w:val="00E53093"/>
    <w:rsid w:val="00E60D76"/>
    <w:rsid w:val="00E639EA"/>
    <w:rsid w:val="00E666B9"/>
    <w:rsid w:val="00E66C6A"/>
    <w:rsid w:val="00E70519"/>
    <w:rsid w:val="00E7175C"/>
    <w:rsid w:val="00E7406B"/>
    <w:rsid w:val="00E8190A"/>
    <w:rsid w:val="00E85EC9"/>
    <w:rsid w:val="00E93B08"/>
    <w:rsid w:val="00EA447B"/>
    <w:rsid w:val="00EA66D6"/>
    <w:rsid w:val="00EB0F27"/>
    <w:rsid w:val="00EB19D2"/>
    <w:rsid w:val="00EB4435"/>
    <w:rsid w:val="00EC0983"/>
    <w:rsid w:val="00ED0313"/>
    <w:rsid w:val="00EF2203"/>
    <w:rsid w:val="00F0175B"/>
    <w:rsid w:val="00F160C1"/>
    <w:rsid w:val="00F22864"/>
    <w:rsid w:val="00F36B14"/>
    <w:rsid w:val="00F45D5E"/>
    <w:rsid w:val="00F50F0B"/>
    <w:rsid w:val="00F57294"/>
    <w:rsid w:val="00F7176D"/>
    <w:rsid w:val="00F7414F"/>
    <w:rsid w:val="00F74626"/>
    <w:rsid w:val="00F76799"/>
    <w:rsid w:val="00F8076E"/>
    <w:rsid w:val="00FB722C"/>
    <w:rsid w:val="00FD5EF9"/>
    <w:rsid w:val="00FE54B2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C56920"/>
  <w15:chartTrackingRefBased/>
  <w15:docId w15:val="{6E296444-0FB7-4FDD-8D9F-878DC1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23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29A"/>
  </w:style>
  <w:style w:type="paragraph" w:styleId="Piedepgina">
    <w:name w:val="footer"/>
    <w:basedOn w:val="Normal"/>
    <w:link w:val="PiedepginaCar"/>
    <w:uiPriority w:val="99"/>
    <w:unhideWhenUsed/>
    <w:rsid w:val="008172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29A"/>
  </w:style>
  <w:style w:type="character" w:styleId="Hipervnculo">
    <w:name w:val="Hyperlink"/>
    <w:basedOn w:val="Fuentedeprrafopredeter"/>
    <w:uiPriority w:val="99"/>
    <w:unhideWhenUsed/>
    <w:rsid w:val="0081729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946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463E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7A7F0E"/>
    <w:pPr>
      <w:widowControl w:val="0"/>
      <w:autoSpaceDE w:val="0"/>
      <w:autoSpaceDN w:val="0"/>
      <w:spacing w:after="0" w:line="240" w:lineRule="auto"/>
      <w:ind w:left="932" w:right="1250"/>
      <w:jc w:val="center"/>
    </w:pPr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7A7F0E"/>
    <w:rPr>
      <w:rFonts w:ascii="Arial MT" w:eastAsia="Arial MT" w:hAnsi="Arial MT" w:cs="Arial MT"/>
      <w:kern w:val="0"/>
      <w:sz w:val="48"/>
      <w:szCs w:val="48"/>
      <w:lang w:val="es-ES"/>
      <w14:ligatures w14:val="none"/>
    </w:rPr>
  </w:style>
  <w:style w:type="paragraph" w:customStyle="1" w:styleId="gmail-msolistparagraph">
    <w:name w:val="gmail-msolistparagraph"/>
    <w:basedOn w:val="Normal"/>
    <w:rsid w:val="009765A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val="es-419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4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2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3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rd.gov.co/transparencia-acceso-informacion-publica/planeacion-presupuesto-informes/plan-de-accion/programa-de-transparencia-y-etica-publ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Caicedo</dc:creator>
  <cp:keywords/>
  <dc:description/>
  <cp:lastModifiedBy>Faiber Gabino Correa Amezquita</cp:lastModifiedBy>
  <cp:revision>2</cp:revision>
  <dcterms:created xsi:type="dcterms:W3CDTF">2025-01-02T21:40:00Z</dcterms:created>
  <dcterms:modified xsi:type="dcterms:W3CDTF">2025-01-02T21:40:00Z</dcterms:modified>
</cp:coreProperties>
</file>